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contextualSpacing/>
        <w:outlineLvl w:val="0"/>
        <w:rPr>
          <w:rFonts w:ascii="Arial" w:hAnsi="Arial" w:cs="Arial"/>
          <w:bCs/>
          <w:color w:val="000000"/>
          <w:sz w:val="30"/>
          <w:szCs w:val="30"/>
        </w:rPr>
      </w:pPr>
      <w:r>
        <w:rPr>
          <w:rFonts w:cs="Arial" w:ascii="Arial" w:hAnsi="Arial"/>
          <w:bCs/>
          <w:color w:val="000000"/>
          <w:sz w:val="30"/>
          <w:szCs w:val="30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b/>
          <w:color w:val="000000"/>
          <w:sz w:val="24"/>
          <w:szCs w:val="26"/>
        </w:rPr>
      </w:pPr>
      <w:r>
        <w:rPr>
          <w:rFonts w:eastAsia="Calibri" w:cs="Times New Roman" w:ascii="Times New Roman" w:hAnsi="Times New Roman"/>
          <w:b/>
          <w:color w:val="000000"/>
          <w:sz w:val="24"/>
          <w:szCs w:val="26"/>
        </w:rPr>
      </w:r>
    </w:p>
    <w:p>
      <w:pPr>
        <w:pStyle w:val="Normal"/>
        <w:spacing w:lineRule="auto" w:line="240" w:before="0" w:after="0"/>
        <w:jc w:val="center"/>
        <w:rPr>
          <w:color w:val="000000"/>
        </w:rPr>
      </w:pPr>
      <w:r>
        <w:rPr>
          <w:rFonts w:eastAsia="Calibri" w:cs="Times New Roman" w:ascii="Times New Roman" w:hAnsi="Times New Roman"/>
          <w:b/>
          <w:color w:val="000000"/>
          <w:sz w:val="26"/>
          <w:szCs w:val="26"/>
        </w:rPr>
        <w:t>Технические требования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b/>
          <w:color w:val="000000"/>
          <w:sz w:val="26"/>
          <w:szCs w:val="26"/>
        </w:rPr>
      </w:pPr>
      <w:r>
        <w:rPr>
          <w:rFonts w:eastAsia="Calibri" w:cs="Times New Roman" w:ascii="Times New Roman" w:hAnsi="Times New Roman"/>
          <w:b/>
          <w:color w:val="000000"/>
          <w:sz w:val="26"/>
          <w:szCs w:val="26"/>
        </w:rPr>
      </w:r>
    </w:p>
    <w:p>
      <w:pPr>
        <w:pStyle w:val="Normal"/>
        <w:bidi w:val="0"/>
        <w:jc w:val="center"/>
        <w:rPr>
          <w:rFonts w:ascii="Times New Roman" w:hAnsi="Times New Roman" w:eastAsia="Calibri" w:cs="Times New Roman"/>
          <w:b/>
          <w:color w:val="000000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/>
          <w:b/>
          <w:color w:val="000000"/>
          <w:kern w:val="0"/>
          <w:sz w:val="26"/>
          <w:szCs w:val="26"/>
          <w:lang w:val="ru-RU" w:eastAsia="en-US" w:bidi="ar-SA"/>
        </w:rPr>
        <w:t>ОКПД2 42.22.22.140 Выполнение работ по капитальному ремонту распределительных сетей 10 кВ на территории Ленинского РЭС в рамках выполнения годовой программы ремонтов 2026 года, для нужд филиала «Электрические сети Еврейской автономной области»</w:t>
      </w:r>
    </w:p>
    <w:p>
      <w:pPr>
        <w:pStyle w:val="Normal"/>
        <w:widowControl w:val="false"/>
        <w:bidi w:val="0"/>
        <w:jc w:val="center"/>
        <w:rPr>
          <w:rFonts w:ascii="Times New Roman" w:hAnsi="Times New Roman" w:eastAsia="Calibri" w:cs="Times New Roman"/>
          <w:b/>
          <w:color w:val="000000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/>
          <w:b/>
          <w:color w:val="000000"/>
          <w:kern w:val="0"/>
          <w:sz w:val="26"/>
          <w:szCs w:val="26"/>
          <w:lang w:val="ru-RU" w:eastAsia="en-US" w:bidi="ar-SA"/>
        </w:rPr>
      </w:r>
    </w:p>
    <w:p>
      <w:pPr>
        <w:pStyle w:val="Normal"/>
        <w:widowControl w:val="false"/>
        <w:bidi w:val="0"/>
        <w:jc w:val="center"/>
        <w:rPr>
          <w:rFonts w:ascii="Times New Roman" w:hAnsi="Times New Roman" w:eastAsia="Calibri" w:cs="Times New Roman"/>
          <w:b/>
          <w:color w:val="000000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/>
          <w:b/>
          <w:color w:val="000000"/>
          <w:kern w:val="0"/>
          <w:sz w:val="26"/>
          <w:szCs w:val="26"/>
          <w:lang w:val="ru-RU" w:eastAsia="en-US" w:bidi="ar-SA"/>
        </w:rPr>
        <w:t>Лот № 26501-РЕМ ПРОД-2026-ДРСК-ЕАО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color w:val="000000"/>
        </w:rPr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Heading"/>
            <w:rPr>
              <w:color w:val="000000"/>
            </w:rPr>
          </w:pPr>
          <w:r>
            <w:rPr>
              <w:rFonts w:ascii="Times New Roman" w:hAnsi="Times New Roman"/>
              <w:color w:val="000000"/>
              <w:sz w:val="26"/>
              <w:szCs w:val="26"/>
            </w:rPr>
            <w:t>Оглавление</w:t>
          </w:r>
        </w:p>
        <w:p>
          <w:pPr>
            <w:pStyle w:val="TOC2"/>
            <w:tabs>
              <w:tab w:val="clear" w:pos="708"/>
              <w:tab w:val="right" w:pos="9638" w:leader="dot"/>
            </w:tabs>
            <w:rPr/>
          </w:pPr>
          <w:r>
            <w:fldChar w:fldCharType="begin"/>
          </w:r>
          <w:r>
            <w:rPr>
              <w:rStyle w:val="Style13"/>
              <w:sz w:val="26"/>
              <w:szCs w:val="26"/>
              <w:rFonts w:ascii="Times New Roman" w:hAnsi="Times New Roman"/>
              <w:color w:val="000000"/>
            </w:rPr>
            <w:instrText xml:space="preserve"> TOC \f \o "1-9" \h</w:instrText>
          </w:r>
          <w:r>
            <w:rPr>
              <w:rStyle w:val="Style13"/>
              <w:sz w:val="26"/>
              <w:szCs w:val="26"/>
              <w:rFonts w:ascii="Times New Roman" w:hAnsi="Times New Roman"/>
              <w:color w:val="000000"/>
            </w:rPr>
            <w:fldChar w:fldCharType="separate"/>
          </w:r>
          <w:hyperlink w:anchor="__RefHeading___Toc1732_2290883248">
            <w:r>
              <w:rPr>
                <w:rStyle w:val="Style13"/>
                <w:rFonts w:ascii="Times New Roman" w:hAnsi="Times New Roman"/>
                <w:color w:val="000000"/>
                <w:sz w:val="26"/>
                <w:szCs w:val="26"/>
              </w:rPr>
              <w:t>1. Общие сведения</w:t>
              <w:tab/>
              <w:t>3</w:t>
            </w:r>
          </w:hyperlink>
        </w:p>
        <w:p>
          <w:pPr>
            <w:pStyle w:val="TOC2"/>
            <w:tabs>
              <w:tab w:val="clear" w:pos="708"/>
              <w:tab w:val="right" w:pos="9638" w:leader="dot"/>
            </w:tabs>
            <w:rPr/>
          </w:pPr>
          <w:hyperlink w:anchor="__RefHeading___Toc1734_2290883248">
            <w:r>
              <w:rPr>
                <w:rStyle w:val="Style13"/>
                <w:rFonts w:ascii="Times New Roman" w:hAnsi="Times New Roman"/>
                <w:color w:val="000000"/>
                <w:sz w:val="26"/>
                <w:szCs w:val="26"/>
              </w:rPr>
              <w:t>1.1. Наименование закупаемых работ</w:t>
              <w:tab/>
              <w:t>3</w:t>
            </w:r>
          </w:hyperlink>
        </w:p>
        <w:p>
          <w:pPr>
            <w:pStyle w:val="TOC2"/>
            <w:tabs>
              <w:tab w:val="clear" w:pos="708"/>
              <w:tab w:val="right" w:pos="9638" w:leader="dot"/>
            </w:tabs>
            <w:rPr/>
          </w:pPr>
          <w:hyperlink w:anchor="__RefHeading___Toc1738_2290883248">
            <w:r>
              <w:rPr>
                <w:rStyle w:val="Style13"/>
                <w:rFonts w:ascii="Times New Roman" w:hAnsi="Times New Roman"/>
                <w:color w:val="000000"/>
                <w:sz w:val="26"/>
                <w:szCs w:val="26"/>
              </w:rPr>
              <w:t>2. Требование к продукции</w:t>
              <w:tab/>
            </w:r>
          </w:hyperlink>
          <w:r>
            <w:rPr>
              <w:rFonts w:ascii="Times New Roman" w:hAnsi="Times New Roman"/>
              <w:color w:val="000000"/>
              <w:sz w:val="26"/>
              <w:szCs w:val="26"/>
            </w:rPr>
            <w:t>4</w:t>
          </w:r>
        </w:p>
        <w:p>
          <w:pPr>
            <w:pStyle w:val="TOC2"/>
            <w:tabs>
              <w:tab w:val="clear" w:pos="708"/>
              <w:tab w:val="right" w:pos="9638" w:leader="dot"/>
            </w:tabs>
            <w:rPr/>
          </w:pPr>
          <w:hyperlink w:anchor="__RefHeading___Toc1740_2290883248">
            <w:r>
              <w:rPr>
                <w:rStyle w:val="Style13"/>
                <w:rFonts w:ascii="Times New Roman" w:hAnsi="Times New Roman"/>
                <w:color w:val="000000"/>
                <w:sz w:val="26"/>
                <w:szCs w:val="26"/>
              </w:rPr>
              <w:t>2.1. Требование к объектам и срокам выполнения работ</w:t>
              <w:tab/>
              <w:t>4</w:t>
            </w:r>
          </w:hyperlink>
        </w:p>
        <w:p>
          <w:pPr>
            <w:pStyle w:val="TOC2"/>
            <w:tabs>
              <w:tab w:val="clear" w:pos="708"/>
              <w:tab w:val="right" w:pos="9638" w:leader="dot"/>
            </w:tabs>
            <w:rPr/>
          </w:pPr>
          <w:hyperlink w:anchor="__RefHeading___Toc1742_2290883248">
            <w:r>
              <w:rPr>
                <w:rStyle w:val="Style13"/>
                <w:rFonts w:ascii="Times New Roman" w:hAnsi="Times New Roman"/>
                <w:color w:val="000000"/>
                <w:sz w:val="26"/>
                <w:szCs w:val="26"/>
              </w:rPr>
              <w:t>2.1.1 Требование к видам и объемам работ</w:t>
              <w:tab/>
              <w:t>4</w:t>
            </w:r>
          </w:hyperlink>
        </w:p>
        <w:p>
          <w:pPr>
            <w:pStyle w:val="TOC2"/>
            <w:tabs>
              <w:tab w:val="clear" w:pos="708"/>
              <w:tab w:val="right" w:pos="9638" w:leader="dot"/>
            </w:tabs>
            <w:rPr/>
          </w:pPr>
          <w:hyperlink w:anchor="__RefHeading___Toc1746_2290883248">
            <w:r>
              <w:rPr>
                <w:rStyle w:val="Style13"/>
                <w:rFonts w:ascii="Times New Roman" w:hAnsi="Times New Roman"/>
                <w:color w:val="000000"/>
                <w:sz w:val="26"/>
                <w:szCs w:val="26"/>
              </w:rPr>
              <w:t>2.1.2. Требование к срокам выполнения работ</w:t>
              <w:tab/>
              <w:t>4</w:t>
            </w:r>
          </w:hyperlink>
        </w:p>
        <w:p>
          <w:pPr>
            <w:pStyle w:val="TOC2"/>
            <w:tabs>
              <w:tab w:val="clear" w:pos="708"/>
              <w:tab w:val="right" w:pos="9638" w:leader="dot"/>
            </w:tabs>
            <w:rPr/>
          </w:pPr>
          <w:hyperlink w:anchor="__RefHeading___Toc1750_2290883248">
            <w:r>
              <w:rPr>
                <w:rStyle w:val="Style13"/>
                <w:rFonts w:ascii="Times New Roman" w:hAnsi="Times New Roman"/>
                <w:color w:val="000000"/>
                <w:sz w:val="26"/>
                <w:szCs w:val="26"/>
              </w:rPr>
              <w:t>2.2. Требование к качеству работ</w:t>
              <w:tab/>
              <w:t>4</w:t>
            </w:r>
          </w:hyperlink>
        </w:p>
        <w:p>
          <w:pPr>
            <w:pStyle w:val="TOC2"/>
            <w:tabs>
              <w:tab w:val="clear" w:pos="708"/>
              <w:tab w:val="right" w:pos="9638" w:leader="dot"/>
            </w:tabs>
            <w:rPr/>
          </w:pPr>
          <w:hyperlink w:anchor="__RefHeading___Toc1754_2290883248">
            <w:r>
              <w:rPr>
                <w:rStyle w:val="Style13"/>
                <w:rFonts w:ascii="Times New Roman" w:hAnsi="Times New Roman"/>
                <w:color w:val="000000"/>
                <w:sz w:val="26"/>
                <w:szCs w:val="26"/>
              </w:rPr>
              <w:t>3. Требования к документации по ценообразованию на этапе закупки</w:t>
              <w:tab/>
              <w:t>8</w:t>
            </w:r>
          </w:hyperlink>
        </w:p>
        <w:p>
          <w:pPr>
            <w:pStyle w:val="TOC2"/>
            <w:tabs>
              <w:tab w:val="clear" w:pos="708"/>
              <w:tab w:val="right" w:pos="9638" w:leader="dot"/>
            </w:tabs>
            <w:rPr/>
          </w:pPr>
          <w:hyperlink w:anchor="__RefHeading___Toc1760_2290883248">
            <w:r>
              <w:rPr>
                <w:rStyle w:val="Style13"/>
                <w:rFonts w:ascii="Times New Roman" w:hAnsi="Times New Roman"/>
                <w:color w:val="000000"/>
                <w:sz w:val="26"/>
                <w:szCs w:val="26"/>
              </w:rPr>
              <w:t>4. Требование к документации по ценообразованию на этапе</w:t>
              <w:tab/>
              <w:t>9</w:t>
            </w:r>
          </w:hyperlink>
        </w:p>
        <w:p>
          <w:pPr>
            <w:pStyle w:val="TOC2"/>
            <w:tabs>
              <w:tab w:val="clear" w:pos="708"/>
              <w:tab w:val="right" w:pos="9638" w:leader="dot"/>
            </w:tabs>
            <w:rPr/>
          </w:pPr>
          <w:hyperlink w:anchor="__RefHeading___Toc1762_2290883248">
            <w:r>
              <w:rPr>
                <w:rStyle w:val="Style13"/>
                <w:rFonts w:ascii="Times New Roman" w:hAnsi="Times New Roman"/>
                <w:color w:val="000000"/>
                <w:sz w:val="26"/>
                <w:szCs w:val="26"/>
              </w:rPr>
              <w:t>заключения договора</w:t>
              <w:tab/>
              <w:t>9</w:t>
            </w:r>
          </w:hyperlink>
        </w:p>
        <w:p>
          <w:pPr>
            <w:pStyle w:val="TOC2"/>
            <w:tabs>
              <w:tab w:val="clear" w:pos="708"/>
              <w:tab w:val="right" w:pos="9638" w:leader="dot"/>
            </w:tabs>
            <w:rPr/>
          </w:pPr>
          <w:hyperlink w:anchor="__RefHeading___Toc1768_2290883248">
            <w:r>
              <w:rPr>
                <w:rStyle w:val="Style13"/>
                <w:rFonts w:ascii="Times New Roman" w:hAnsi="Times New Roman"/>
                <w:color w:val="000000"/>
                <w:sz w:val="26"/>
                <w:szCs w:val="26"/>
              </w:rPr>
              <w:t>5. Приложения</w:t>
              <w:tab/>
              <w:t>9</w:t>
            </w:r>
          </w:hyperlink>
          <w:r>
            <w:rPr>
              <w:rStyle w:val="Style13"/>
              <w:sz w:val="26"/>
              <w:szCs w:val="26"/>
              <w:rFonts w:ascii="Times New Roman" w:hAnsi="Times New Roman"/>
              <w:color w:val="000000"/>
            </w:rPr>
            <w:fldChar w:fldCharType="end"/>
          </w:r>
        </w:p>
      </w:sdtContent>
    </w:sdt>
    <w:p>
      <w:pPr>
        <w:pStyle w:val="Normal"/>
        <w:spacing w:lineRule="auto" w:line="240" w:before="0" w:after="0"/>
        <w:jc w:val="both"/>
        <w:rPr>
          <w:rFonts w:ascii="Times New Roman" w:hAnsi="Times New Roman" w:eastAsia="" w:cs="Times New Roman" w:eastAsiaTheme="majorEastAsia"/>
          <w:b/>
          <w:color w:val="000000"/>
          <w:sz w:val="26"/>
          <w:szCs w:val="26"/>
        </w:rPr>
      </w:pPr>
      <w:r>
        <w:rPr>
          <w:rFonts w:eastAsia="" w:cs="Times New Roman" w:eastAsiaTheme="majorEastAsia" w:ascii="Times New Roman" w:hAnsi="Times New Roman"/>
          <w:b/>
          <w:color w:val="000000"/>
          <w:sz w:val="26"/>
          <w:szCs w:val="26"/>
        </w:rPr>
      </w:r>
      <w:r>
        <w:br w:type="page"/>
      </w:r>
    </w:p>
    <w:p>
      <w:pPr>
        <w:pStyle w:val="Heading2"/>
        <w:numPr>
          <w:ilvl w:val="0"/>
          <w:numId w:val="9"/>
        </w:numPr>
        <w:jc w:val="center"/>
        <w:rPr>
          <w:color w:val="000000"/>
        </w:rPr>
      </w:pPr>
      <w:bookmarkStart w:id="0" w:name="__RefHeading___Toc1732_2290883248"/>
      <w:bookmarkStart w:id="1" w:name="_Toc139369626"/>
      <w:bookmarkEnd w:id="0"/>
      <w:r>
        <w:rPr>
          <w:rFonts w:cs="Times New Roman" w:ascii="Times New Roman" w:hAnsi="Times New Roman"/>
          <w:b/>
          <w:color w:val="000000"/>
        </w:rPr>
        <w:t>Общие сведения</w:t>
      </w:r>
      <w:bookmarkEnd w:id="1"/>
    </w:p>
    <w:p>
      <w:pPr>
        <w:pStyle w:val="Normal"/>
        <w:spacing w:lineRule="auto" w:line="240" w:before="0" w:after="0"/>
        <w:rPr>
          <w:color w:val="000000"/>
        </w:rPr>
      </w:pPr>
      <w:r>
        <w:rPr>
          <w:color w:val="000000"/>
        </w:rPr>
      </w:r>
    </w:p>
    <w:p>
      <w:pPr>
        <w:pStyle w:val="Heading2"/>
        <w:spacing w:lineRule="auto" w:line="240" w:before="0" w:after="0"/>
        <w:rPr>
          <w:color w:val="000000"/>
        </w:rPr>
      </w:pPr>
      <w:bookmarkStart w:id="2" w:name="__RefHeading___Toc1734_2290883248"/>
      <w:bookmarkStart w:id="3" w:name="_Toc139369627"/>
      <w:bookmarkEnd w:id="2"/>
      <w:r>
        <w:rPr>
          <w:rFonts w:cs="Times New Roman" w:ascii="Times New Roman" w:hAnsi="Times New Roman"/>
          <w:b/>
          <w:color w:val="000000"/>
        </w:rPr>
        <w:t>1.1. Наименование закупаемых работ</w:t>
      </w:r>
      <w:bookmarkEnd w:id="3"/>
      <w:r>
        <w:rPr>
          <w:rFonts w:cs="Times New Roman" w:ascii="Times New Roman" w:hAnsi="Times New Roman"/>
          <w:b/>
          <w:color w:val="000000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cs="Times New Roman" w:ascii="Times New Roman" w:hAnsi="Times New Roman"/>
          <w:b/>
          <w:color w:val="000000"/>
          <w:sz w:val="26"/>
          <w:szCs w:val="26"/>
        </w:rPr>
      </w:r>
    </w:p>
    <w:p>
      <w:pPr>
        <w:pStyle w:val="Normal"/>
        <w:bidi w:val="0"/>
        <w:jc w:val="both"/>
        <w:rPr>
          <w:rFonts w:ascii="Times New Roman" w:hAnsi="Times New Roman" w:eastAsia="Calibri" w:cs="Times New Roman"/>
          <w:b/>
          <w:color w:val="000000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ascii="Times New Roman" w:hAnsi="Times New Roman"/>
          <w:b/>
          <w:i w:val="false"/>
          <w:caps w:val="false"/>
          <w:smallCaps w:val="false"/>
          <w:color w:val="000000"/>
          <w:spacing w:val="0"/>
          <w:kern w:val="0"/>
          <w:sz w:val="26"/>
          <w:szCs w:val="26"/>
          <w:lang w:val="ru-RU" w:eastAsia="en-US" w:bidi="ar-SA"/>
        </w:rPr>
        <w:t>ОКПД2 42.22.22.140 Выполнение работ по капитальному ремонту распределительных сетей 10 кВ на территории Ленинского РЭС в рамках выполнения годовой программы ремонтов 2026 года, для нужд филиала «Электрические сети Еврейской автономной области»</w:t>
      </w:r>
      <w:bookmarkStart w:id="4" w:name="_Toc115104133"/>
      <w:bookmarkStart w:id="5" w:name="_Toc40953043"/>
      <w:bookmarkStart w:id="6" w:name="_Toc40949670"/>
      <w:bookmarkStart w:id="7" w:name="_Toc40952988"/>
      <w:bookmarkStart w:id="8" w:name="_Toc40953096"/>
      <w:bookmarkStart w:id="9" w:name="_Toc40954049"/>
      <w:bookmarkStart w:id="10" w:name="_Toc54643126"/>
    </w:p>
    <w:p>
      <w:pPr>
        <w:pStyle w:val="Normal"/>
        <w:spacing w:lineRule="auto" w:line="240" w:before="0" w:after="0"/>
        <w:rPr>
          <w:color w:val="000000"/>
        </w:rPr>
      </w:pPr>
      <w:r>
        <w:rPr>
          <w:color w:val="000000"/>
        </w:rPr>
      </w:r>
    </w:p>
    <w:p>
      <w:pPr>
        <w:pStyle w:val="Heading2"/>
        <w:spacing w:lineRule="auto" w:line="240" w:before="0" w:after="0"/>
        <w:rPr>
          <w:color w:val="000000"/>
        </w:rPr>
      </w:pPr>
      <w:bookmarkStart w:id="11" w:name="__RefHeading___Toc1736_2290883248"/>
      <w:bookmarkStart w:id="12" w:name="_Toc139369628"/>
      <w:bookmarkEnd w:id="11"/>
      <w:r>
        <w:rPr>
          <w:rFonts w:cs="Times New Roman" w:ascii="Times New Roman" w:hAnsi="Times New Roman"/>
          <w:b/>
          <w:color w:val="000000"/>
        </w:rPr>
        <w:t xml:space="preserve">Таблица 1.1 Перечень объектов </w:t>
      </w:r>
      <w:bookmarkEnd w:id="10"/>
      <w:r>
        <w:rPr>
          <w:rFonts w:cs="Times New Roman" w:ascii="Times New Roman" w:hAnsi="Times New Roman"/>
          <w:b/>
          <w:color w:val="000000"/>
        </w:rPr>
        <w:t>заказчика</w:t>
      </w:r>
      <w:bookmarkEnd w:id="12"/>
    </w:p>
    <w:tbl>
      <w:tblPr>
        <w:tblW w:w="5000" w:type="pct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556"/>
        <w:gridCol w:w="1865"/>
        <w:gridCol w:w="2556"/>
        <w:gridCol w:w="2627"/>
        <w:gridCol w:w="2034"/>
      </w:tblGrid>
      <w:tr>
        <w:trPr/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№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п/п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Наименование объекта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 xml:space="preserve">Расположение объекта </w:t>
              <w:br/>
              <w:t>(</w:t>
            </w:r>
            <w:r>
              <w:rPr>
                <w:rFonts w:eastAsia="Times New Roman" w:ascii="Times New Roman" w:hAnsi="Times New Roman"/>
                <w:i/>
                <w:color w:val="000000"/>
                <w:lang w:eastAsia="ru-RU"/>
              </w:rPr>
              <w:t>место производства работ</w:t>
            </w: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 xml:space="preserve">Наименование основного средства </w:t>
              <w:br/>
              <w:t>(в отношении которого выполняются работы)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Примечание</w:t>
            </w:r>
          </w:p>
        </w:tc>
      </w:tr>
      <w:tr>
        <w:trPr/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Cs w:val="26"/>
              </w:rPr>
              <w:t>1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Cs w:val="26"/>
              </w:rPr>
              <w:t>2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Cs w:val="26"/>
              </w:rPr>
              <w:t>3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Cs w:val="26"/>
              </w:rPr>
              <w:t>4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Cs w:val="26"/>
              </w:rPr>
              <w:t>5</w:t>
            </w:r>
          </w:p>
        </w:tc>
      </w:tr>
      <w:tr>
        <w:trPr>
          <w:trHeight w:val="881" w:hRule="atLeast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1.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center"/>
              <w:outlineLvl w:val="0"/>
              <w:rPr>
                <w:i w:val="false"/>
                <w:i w:val="false"/>
                <w:iCs w:val="false"/>
                <w:u w:val="non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ВЛ-10 кВ Ф-75 «Ленинская»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center"/>
              <w:outlineLvl w:val="0"/>
              <w:rPr>
                <w:rFonts w:ascii="Times New Roman" w:hAnsi="Times New Roman" w:eastAsia="Times New Roman" w:cs="Times New Roman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Ленинский РЭС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center"/>
              <w:outlineLvl w:val="0"/>
              <w:rPr>
                <w:i w:val="false"/>
                <w:i w:val="false"/>
                <w:iCs w:val="false"/>
                <w:u w:val="non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ВЛ-10 кВ Ф-75 «Ленинская»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center"/>
              <w:outlineLvl w:val="0"/>
              <w:rPr>
                <w:i w:val="false"/>
                <w:i w:val="false"/>
                <w:iCs w:val="false"/>
                <w:u w:val="non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инв. № ЕО0003570,</w:t>
            </w:r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i/>
                <w:color w:val="000000"/>
                <w:szCs w:val="26"/>
              </w:rPr>
              <w:t>Эксплуатирующая организация: АО «ДРСК» «Электрические сети ЕАО»</w:t>
            </w:r>
          </w:p>
        </w:tc>
      </w:tr>
      <w:tr>
        <w:trPr>
          <w:trHeight w:val="881" w:hRule="atLeast"/>
        </w:trPr>
        <w:tc>
          <w:tcPr>
            <w:tcW w:w="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2.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center"/>
              <w:outlineLvl w:val="0"/>
              <w:rPr>
                <w:u w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ВЛ-10 кВ Ф-204 «Чурки»</w:t>
            </w:r>
          </w:p>
        </w:tc>
        <w:tc>
          <w:tcPr>
            <w:tcW w:w="2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center"/>
              <w:outlineLvl w:val="0"/>
              <w:rPr>
                <w:rFonts w:ascii="Times New Roman" w:hAnsi="Times New Roman" w:eastAsia="Times New Roman" w:cs="Times New Roman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Ленинский РЭС</w:t>
            </w:r>
          </w:p>
        </w:tc>
        <w:tc>
          <w:tcPr>
            <w:tcW w:w="26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center"/>
              <w:outlineLvl w:val="0"/>
              <w:rPr>
                <w:u w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ВЛ-10 кВ Ф-204 «Чурки» инв. № ЕО0003636</w:t>
            </w:r>
          </w:p>
        </w:tc>
        <w:tc>
          <w:tcPr>
            <w:tcW w:w="20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881" w:hRule="atLeast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spacing w:lineRule="auto" w:line="240" w:before="0" w:after="0"/>
              <w:ind w:left="0" w:right="0" w:hanging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3.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0" w:after="0"/>
              <w:ind w:left="0" w:right="0" w:hanging="0"/>
              <w:jc w:val="center"/>
              <w:outlineLvl w:val="0"/>
              <w:rPr>
                <w:u w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КТПН №48 с ТМ 630/10/0,4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outlineLvl w:val="0"/>
              <w:rPr>
                <w:rFonts w:ascii="Times New Roman" w:hAnsi="Times New Roman" w:eastAsia="Times New Roman" w:cs="Times New Roman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Ленинский РЭС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outlineLvl w:val="0"/>
              <w:rPr>
                <w:u w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КТПН №48 с ТМ 630/10/0,4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outlineLvl w:val="0"/>
              <w:rPr>
                <w:u w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инв. № EO0003673</w:t>
            </w:r>
          </w:p>
        </w:tc>
        <w:tc>
          <w:tcPr>
            <w:tcW w:w="20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i/>
                <w:i/>
                <w:color w:val="000000"/>
                <w:szCs w:val="26"/>
              </w:rPr>
            </w:pPr>
            <w:r>
              <w:rPr>
                <w:rFonts w:cs="Times New Roman" w:ascii="Times New Roman" w:hAnsi="Times New Roman"/>
                <w:i/>
                <w:color w:val="000000"/>
                <w:szCs w:val="26"/>
              </w:rPr>
            </w:r>
          </w:p>
        </w:tc>
      </w:tr>
    </w:tbl>
    <w:p>
      <w:pPr>
        <w:pStyle w:val="Heading2"/>
        <w:numPr>
          <w:ilvl w:val="1"/>
          <w:numId w:val="1"/>
        </w:num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cs="Times New Roman" w:ascii="Times New Roman" w:hAnsi="Times New Roman"/>
          <w:color w:val="000000"/>
          <w:sz w:val="26"/>
          <w:szCs w:val="26"/>
        </w:rPr>
      </w:r>
    </w:p>
    <w:p>
      <w:pPr>
        <w:pStyle w:val="Heading2"/>
        <w:numPr>
          <w:ilvl w:val="1"/>
          <w:numId w:val="1"/>
        </w:numPr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bookmarkStart w:id="13" w:name="__RefHeading___Toc6899_2187787009"/>
      <w:bookmarkEnd w:id="13"/>
      <w:r>
        <w:rPr>
          <w:rFonts w:eastAsia="Calibri" w:cs="Times New Roman" w:ascii="Times New Roman" w:hAnsi="Times New Roman"/>
          <w:b/>
          <w:i w:val="false"/>
          <w:caps w:val="false"/>
          <w:smallCaps w:val="false"/>
          <w:color w:val="000000"/>
          <w:spacing w:val="0"/>
          <w:kern w:val="0"/>
          <w:sz w:val="26"/>
          <w:szCs w:val="26"/>
          <w:lang w:val="ru-RU" w:eastAsia="en-US" w:bidi="ar-SA"/>
        </w:rPr>
        <w:t xml:space="preserve">1.1. </w:t>
      </w:r>
      <w:bookmarkStart w:id="14" w:name="_Toc126314956"/>
      <w:bookmarkStart w:id="15" w:name="_Toc143524802"/>
      <w:r>
        <w:rPr>
          <w:rFonts w:eastAsia="Calibri" w:cs="Times New Roman" w:ascii="Times New Roman" w:hAnsi="Times New Roman"/>
          <w:b/>
          <w:i w:val="false"/>
          <w:caps w:val="false"/>
          <w:smallCaps w:val="false"/>
          <w:color w:val="000000"/>
          <w:spacing w:val="0"/>
          <w:kern w:val="0"/>
          <w:sz w:val="26"/>
          <w:szCs w:val="26"/>
          <w:lang w:val="ru-RU" w:eastAsia="en-US" w:bidi="ar-SA"/>
        </w:rPr>
        <w:t xml:space="preserve">Информация в отношении исполнения договора, </w:t>
      </w:r>
      <w:bookmarkStart w:id="16" w:name="_Hlk46492347"/>
      <w:r>
        <w:rPr>
          <w:rFonts w:eastAsia="Calibri" w:cs="Times New Roman" w:ascii="Times New Roman" w:hAnsi="Times New Roman"/>
          <w:b/>
          <w:i w:val="false"/>
          <w:caps w:val="false"/>
          <w:smallCaps w:val="false"/>
          <w:color w:val="000000"/>
          <w:spacing w:val="0"/>
          <w:kern w:val="0"/>
          <w:sz w:val="26"/>
          <w:szCs w:val="26"/>
          <w:lang w:val="ru-RU" w:eastAsia="en-US" w:bidi="ar-SA"/>
        </w:rPr>
        <w:t xml:space="preserve">которая должна быть учтена при подготовке заявки </w:t>
      </w:r>
      <w:bookmarkEnd w:id="16"/>
      <w:r>
        <w:rPr>
          <w:rFonts w:eastAsia="Calibri" w:cs="Times New Roman" w:ascii="Times New Roman" w:hAnsi="Times New Roman"/>
          <w:b/>
          <w:i w:val="false"/>
          <w:caps w:val="false"/>
          <w:smallCaps w:val="false"/>
          <w:color w:val="000000"/>
          <w:spacing w:val="0"/>
          <w:kern w:val="0"/>
          <w:sz w:val="26"/>
          <w:szCs w:val="26"/>
          <w:lang w:val="ru-RU" w:eastAsia="en-US" w:bidi="ar-SA"/>
        </w:rPr>
        <w:t>(в том числе перечень ресурсов, услуг и документов, предоставляемых заказчиком на этапе исполнения договора)</w:t>
      </w:r>
      <w:bookmarkEnd w:id="14"/>
      <w:bookmarkEnd w:id="15"/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1.2.1. Заказчик передает Подрядчику, со склада филиала АО «ДРСК» - «Электрические сети ЕАО» в г. Биробиджан, следующие материалы: </w:t>
      </w:r>
    </w:p>
    <w:p>
      <w:pPr>
        <w:pStyle w:val="Heading1"/>
        <w:keepLines/>
        <w:numPr>
          <w:ilvl w:val="0"/>
          <w:numId w:val="1"/>
        </w:numPr>
        <w:tabs>
          <w:tab w:val="clear" w:pos="708"/>
        </w:tabs>
        <w:spacing w:lineRule="auto" w:line="240" w:before="0" w:after="0"/>
        <w:ind w:left="0" w:right="0" w:hanging="0"/>
        <w:jc w:val="both"/>
        <w:rPr/>
      </w:pPr>
      <w:bookmarkStart w:id="17" w:name="__RefHeading___Toc6901_2187787009"/>
      <w:bookmarkStart w:id="18" w:name="_Toc143524803"/>
      <w:bookmarkStart w:id="19" w:name="_Toc126314957"/>
      <w:bookmarkEnd w:id="17"/>
      <w:r>
        <w:rPr>
          <w:rFonts w:ascii="Times New Roman" w:hAnsi="Times New Roman"/>
          <w:color w:val="000000"/>
          <w:sz w:val="26"/>
          <w:szCs w:val="26"/>
          <w:shd w:fill="auto" w:val="clear"/>
        </w:rPr>
        <w:t>Таблица 1.</w:t>
      </w:r>
      <w:r>
        <w:rPr>
          <w:rFonts w:ascii="Times New Roman" w:hAnsi="Times New Roman"/>
          <w:color w:val="000000"/>
          <w:sz w:val="26"/>
          <w:szCs w:val="26"/>
          <w:shd w:fill="auto" w:val="clear"/>
          <w:lang w:val="ru-RU"/>
        </w:rPr>
        <w:t>2.</w:t>
      </w:r>
      <w:r>
        <w:rPr>
          <w:rFonts w:ascii="Times New Roman" w:hAnsi="Times New Roman"/>
          <w:color w:val="000000"/>
          <w:sz w:val="26"/>
          <w:szCs w:val="26"/>
          <w:shd w:fill="auto" w:val="clear"/>
        </w:rPr>
        <w:t xml:space="preserve"> Список МТР</w:t>
      </w:r>
      <w:r>
        <w:rPr>
          <w:rFonts w:ascii="Times New Roman" w:hAnsi="Times New Roman"/>
          <w:color w:val="000000"/>
          <w:sz w:val="26"/>
          <w:szCs w:val="26"/>
          <w:shd w:fill="auto" w:val="clear"/>
          <w:lang w:val="ru-RU"/>
        </w:rPr>
        <w:t>,</w:t>
      </w:r>
      <w:r>
        <w:rPr>
          <w:rFonts w:ascii="Times New Roman" w:hAnsi="Times New Roman"/>
          <w:color w:val="000000"/>
          <w:sz w:val="26"/>
          <w:szCs w:val="26"/>
          <w:shd w:fill="auto" w:val="clear"/>
        </w:rPr>
        <w:t xml:space="preserve"> передаваемых от Заказчика Подрядчику</w:t>
      </w:r>
      <w:r>
        <w:rPr>
          <w:rFonts w:ascii="Times New Roman" w:hAnsi="Times New Roman"/>
          <w:color w:val="000000"/>
          <w:sz w:val="26"/>
          <w:szCs w:val="26"/>
          <w:shd w:fill="auto" w:val="clear"/>
          <w:lang w:val="ru-RU"/>
        </w:rPr>
        <w:t xml:space="preserve"> (г. Биробиджан)</w:t>
      </w:r>
      <w:bookmarkEnd w:id="18"/>
      <w:bookmarkEnd w:id="19"/>
    </w:p>
    <w:tbl>
      <w:tblPr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7"/>
        <w:gridCol w:w="1136"/>
        <w:gridCol w:w="2505"/>
      </w:tblGrid>
      <w:tr>
        <w:trPr>
          <w:trHeight w:val="563" w:hRule="atLeast"/>
        </w:trPr>
        <w:tc>
          <w:tcPr>
            <w:tcW w:w="5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Наименование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Ед. изм.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Кол-во</w:t>
            </w:r>
          </w:p>
        </w:tc>
      </w:tr>
      <w:tr>
        <w:trPr>
          <w:trHeight w:val="348" w:hRule="atLeast"/>
        </w:trPr>
        <w:tc>
          <w:tcPr>
            <w:tcW w:w="96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center"/>
              <w:outlineLvl w:val="0"/>
              <w:rPr>
                <w:rFonts w:ascii="Times New Roman" w:hAnsi="Times New Roman" w:eastAsia="Times New Roman" w:cs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1. ВЛ-10 кВ Ф-75 «Ленинская» инв. № ЕО0003570</w:t>
            </w:r>
          </w:p>
        </w:tc>
      </w:tr>
      <w:tr>
        <w:trPr>
          <w:trHeight w:val="206" w:hRule="atLeast"/>
        </w:trPr>
        <w:tc>
          <w:tcPr>
            <w:tcW w:w="5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Провод СИП 3 1*50 ГОСТ Р 52373-2005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м.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1400</w:t>
            </w:r>
          </w:p>
        </w:tc>
      </w:tr>
      <w:tr>
        <w:trPr>
          <w:trHeight w:val="347" w:hRule="atLeast"/>
        </w:trPr>
        <w:tc>
          <w:tcPr>
            <w:tcW w:w="5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eading1"/>
              <w:widowControl w:val="false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 xml:space="preserve">Провод АС 50/8,0 </w:t>
            </w:r>
            <w:r>
              <w:rPr>
                <w:rStyle w:val="Hyperlink"/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ГОСТ 839-80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м.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12540</w:t>
            </w:r>
          </w:p>
        </w:tc>
      </w:tr>
      <w:tr>
        <w:trPr>
          <w:trHeight w:val="450" w:hRule="atLeast"/>
        </w:trPr>
        <w:tc>
          <w:tcPr>
            <w:tcW w:w="5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Опора ж/б СВ-10,5-5,5</w:t>
            </w:r>
          </w:p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Style w:val="Hyperlink"/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ТУ 5863-007–00113557-94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шт.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57</w:t>
            </w:r>
          </w:p>
        </w:tc>
      </w:tr>
      <w:tr>
        <w:trPr>
          <w:trHeight w:val="106" w:hRule="atLeast"/>
        </w:trPr>
        <w:tc>
          <w:tcPr>
            <w:tcW w:w="96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center"/>
              <w:outlineLvl w:val="0"/>
              <w:rPr>
                <w:rFonts w:ascii="Times New Roman" w:hAnsi="Times New Roman" w:eastAsia="Times New Roman" w:cs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2. ВЛ-10 кВ Ф-204 «Чурки» инв. № ЕО0003636</w:t>
            </w:r>
          </w:p>
        </w:tc>
      </w:tr>
      <w:tr>
        <w:trPr>
          <w:trHeight w:val="123" w:hRule="atLeast"/>
        </w:trPr>
        <w:tc>
          <w:tcPr>
            <w:tcW w:w="5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Провод СИП 3 1*50 ГОСТ Р 52373-2005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м.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5402</w:t>
            </w:r>
          </w:p>
        </w:tc>
      </w:tr>
      <w:tr>
        <w:trPr>
          <w:trHeight w:val="457" w:hRule="atLeast"/>
        </w:trPr>
        <w:tc>
          <w:tcPr>
            <w:tcW w:w="5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Опора ж/б СВ-10,5-5,5</w:t>
            </w:r>
          </w:p>
          <w:p>
            <w:pPr>
              <w:pStyle w:val="Normal"/>
              <w:widowControl w:val="false"/>
              <w:spacing w:lineRule="auto" w:line="240" w:before="0" w:after="0"/>
              <w:rPr/>
            </w:pPr>
            <w:hyperlink r:id="rId2">
              <w:r>
                <w:rPr>
                  <w:rStyle w:val="Hyperlink"/>
                  <w:rFonts w:eastAsia="Times New Roman" w:cs="Times New Roman" w:ascii="Times New Roman" w:hAnsi="Times New Roman"/>
                  <w:color w:val="000000"/>
                  <w:kern w:val="0"/>
                  <w:sz w:val="22"/>
                  <w:szCs w:val="22"/>
                  <w:u w:val="none"/>
                  <w:shd w:fill="auto" w:val="clear"/>
                  <w:lang w:val="ru-RU" w:eastAsia="ru-RU" w:bidi="ar-SA"/>
                </w:rPr>
                <w:t>ТУ 5863-007–00113557-94</w:t>
              </w:r>
            </w:hyperlink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шт.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38</w:t>
            </w:r>
          </w:p>
        </w:tc>
      </w:tr>
      <w:tr>
        <w:trPr>
          <w:trHeight w:val="138" w:hRule="atLeast"/>
        </w:trPr>
        <w:tc>
          <w:tcPr>
            <w:tcW w:w="96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3. КТПН №48 с ТМ 630/10/0,4, инв. № EO0003673</w:t>
            </w:r>
          </w:p>
        </w:tc>
      </w:tr>
      <w:tr>
        <w:trPr>
          <w:trHeight w:val="217" w:hRule="atLeast"/>
        </w:trPr>
        <w:tc>
          <w:tcPr>
            <w:tcW w:w="5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КТП-Т-ВВ 630/10/0,4УХЛ1 с линейным вводом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шт.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1</w:t>
            </w:r>
          </w:p>
        </w:tc>
      </w:tr>
      <w:tr>
        <w:trPr>
          <w:trHeight w:val="100" w:hRule="atLeast"/>
        </w:trPr>
        <w:tc>
          <w:tcPr>
            <w:tcW w:w="5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Трансформатор ТМГ630 10/0,4кВ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шт.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1</w:t>
            </w:r>
          </w:p>
        </w:tc>
      </w:tr>
      <w:tr>
        <w:trPr>
          <w:trHeight w:val="120" w:hRule="atLeast"/>
        </w:trPr>
        <w:tc>
          <w:tcPr>
            <w:tcW w:w="5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 xml:space="preserve">Провод АС 70 </w:t>
            </w:r>
            <w:r>
              <w:rPr>
                <w:rStyle w:val="Hyperlink"/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ГОСТ 839-80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м.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60</w:t>
            </w:r>
          </w:p>
        </w:tc>
      </w:tr>
      <w:tr>
        <w:trPr>
          <w:trHeight w:val="141" w:hRule="atLeast"/>
        </w:trPr>
        <w:tc>
          <w:tcPr>
            <w:tcW w:w="5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Провод СИП-2 3х95+1х95 ГОСТ 31946-2012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м.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150</w:t>
            </w:r>
          </w:p>
        </w:tc>
      </w:tr>
    </w:tbl>
    <w:p>
      <w:pPr>
        <w:pStyle w:val="BodyText"/>
        <w:jc w:val="both"/>
        <w:rPr>
          <w:rFonts w:ascii="Times New Roman" w:hAnsi="Times New Roman" w:eastAsia="" w:cs=""/>
          <w:color w:val="000000"/>
          <w:spacing w:val="5"/>
          <w:kern w:val="0"/>
          <w:sz w:val="26"/>
          <w:szCs w:val="26"/>
          <w:shd w:fill="auto" w:val="clear"/>
          <w:lang w:val="ru-RU" w:eastAsia="en-US" w:bidi="ar-SA"/>
        </w:rPr>
      </w:pPr>
      <w:r>
        <w:rPr>
          <w:rFonts w:eastAsia="" w:cs=""/>
          <w:color w:val="000000"/>
          <w:spacing w:val="5"/>
          <w:kern w:val="0"/>
          <w:sz w:val="26"/>
          <w:szCs w:val="26"/>
          <w:shd w:fill="auto" w:val="clear"/>
          <w:lang w:val="ru-RU" w:eastAsia="en-US" w:bidi="ar-SA"/>
        </w:rPr>
        <w:t>Передача МТР будет выполнена после её поставки на склад ЭС ЕАО ориентировочный срок поставки с 01.06.2026 г.</w:t>
      </w:r>
    </w:p>
    <w:p>
      <w:pPr>
        <w:pStyle w:val="Heading2"/>
        <w:numPr>
          <w:ilvl w:val="0"/>
          <w:numId w:val="0"/>
        </w:numPr>
        <w:spacing w:lineRule="auto" w:line="240" w:before="0" w:after="0"/>
        <w:ind w:left="720" w:hanging="0"/>
        <w:jc w:val="center"/>
        <w:rPr>
          <w:color w:val="000000"/>
        </w:rPr>
      </w:pPr>
      <w:r>
        <w:rPr>
          <w:color w:val="000000"/>
        </w:rPr>
      </w:r>
    </w:p>
    <w:p>
      <w:pPr>
        <w:pStyle w:val="Heading2"/>
        <w:numPr>
          <w:ilvl w:val="0"/>
          <w:numId w:val="9"/>
        </w:numPr>
        <w:spacing w:lineRule="auto" w:line="240" w:before="0" w:after="0"/>
        <w:jc w:val="center"/>
        <w:rPr>
          <w:color w:val="000000"/>
        </w:rPr>
      </w:pPr>
      <w:bookmarkStart w:id="20" w:name="__RefHeading___Toc1738_2290883248"/>
      <w:bookmarkStart w:id="21" w:name="_Toc139369629"/>
      <w:bookmarkEnd w:id="20"/>
      <w:r>
        <w:rPr>
          <w:rFonts w:eastAsia="Times New Roman" w:cs="Times New Roman" w:ascii="Times New Roman" w:hAnsi="Times New Roman"/>
          <w:b/>
          <w:color w:val="000000"/>
        </w:rPr>
        <w:t>Требование к продукции</w:t>
      </w:r>
      <w:bookmarkEnd w:id="21"/>
    </w:p>
    <w:p>
      <w:pPr>
        <w:pStyle w:val="Normal"/>
        <w:spacing w:lineRule="auto" w:line="240"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lineRule="auto" w:line="240" w:before="0" w:after="0"/>
        <w:rPr>
          <w:color w:val="000000"/>
        </w:rPr>
      </w:pPr>
      <w:r>
        <w:rPr>
          <w:color w:val="000000"/>
        </w:rPr>
      </w:r>
    </w:p>
    <w:p>
      <w:pPr>
        <w:pStyle w:val="Heading2"/>
        <w:spacing w:lineRule="auto" w:line="240" w:before="0" w:after="0"/>
        <w:rPr>
          <w:color w:val="000000"/>
        </w:rPr>
      </w:pPr>
      <w:bookmarkStart w:id="22" w:name="__RefHeading___Toc1740_2290883248"/>
      <w:bookmarkStart w:id="23" w:name="_Toc139369630"/>
      <w:bookmarkEnd w:id="22"/>
      <w:r>
        <w:rPr>
          <w:rFonts w:cs="Times New Roman" w:ascii="Times New Roman" w:hAnsi="Times New Roman"/>
          <w:b/>
          <w:color w:val="000000"/>
        </w:rPr>
        <w:t>2.1. Требование к объектам и срокам выполнения работ</w:t>
      </w:r>
      <w:bookmarkEnd w:id="23"/>
      <w:r>
        <w:rPr>
          <w:rFonts w:cs="Times New Roman" w:ascii="Times New Roman" w:hAnsi="Times New Roman"/>
          <w:b/>
          <w:color w:val="000000"/>
        </w:rPr>
        <w:t xml:space="preserve"> </w:t>
      </w:r>
    </w:p>
    <w:p>
      <w:pPr>
        <w:pStyle w:val="Heading2"/>
        <w:spacing w:lineRule="auto" w:line="240" w:before="0" w:after="0"/>
        <w:ind w:firstLine="567"/>
        <w:rPr>
          <w:color w:val="000000"/>
        </w:rPr>
      </w:pPr>
      <w:bookmarkStart w:id="24" w:name="__RefHeading___Toc1742_2290883248"/>
      <w:bookmarkStart w:id="25" w:name="_Toc139369631"/>
      <w:bookmarkEnd w:id="24"/>
      <w:r>
        <w:rPr>
          <w:rFonts w:cs="Times New Roman" w:ascii="Times New Roman" w:hAnsi="Times New Roman"/>
          <w:b/>
          <w:color w:val="000000"/>
        </w:rPr>
        <w:t>2.1.1 Требование к видам и объемам работ</w:t>
      </w:r>
      <w:bookmarkEnd w:id="25"/>
    </w:p>
    <w:p>
      <w:pPr>
        <w:pStyle w:val="Heading2"/>
        <w:spacing w:lineRule="auto" w:line="240" w:before="0" w:after="0"/>
        <w:rPr>
          <w:color w:val="000000"/>
        </w:rPr>
      </w:pPr>
      <w:bookmarkStart w:id="26" w:name="__RefHeading___Toc1744_2290883248"/>
      <w:bookmarkStart w:id="27" w:name="_Toc135749173"/>
      <w:bookmarkStart w:id="28" w:name="_Toc139369632"/>
      <w:bookmarkEnd w:id="26"/>
      <w:r>
        <w:rPr>
          <w:rFonts w:cs="Times New Roman" w:ascii="Times New Roman" w:hAnsi="Times New Roman"/>
          <w:b/>
          <w:color w:val="000000"/>
        </w:rPr>
        <w:t>Таблица 2. Перечень и объем выполняемых работ</w:t>
      </w:r>
      <w:bookmarkEnd w:id="27"/>
      <w:bookmarkEnd w:id="28"/>
    </w:p>
    <w:tbl>
      <w:tblPr>
        <w:tblW w:w="9668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728"/>
        <w:gridCol w:w="4688"/>
        <w:gridCol w:w="1530"/>
        <w:gridCol w:w="2721"/>
      </w:tblGrid>
      <w:tr>
        <w:trPr>
          <w:trHeight w:val="605" w:hRule="atLeast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Cs w:val="26"/>
              </w:rPr>
              <w:t>№</w:t>
            </w:r>
          </w:p>
          <w:p>
            <w:pPr>
              <w:pStyle w:val="Normal"/>
              <w:keepNext w:val="true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Cs w:val="26"/>
              </w:rPr>
              <w:t>п/п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Cs w:val="26"/>
              </w:rPr>
              <w:t>Наименование работ / этапа работ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Cs w:val="26"/>
              </w:rPr>
              <w:t>Единица измерения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Cs w:val="26"/>
              </w:rPr>
              <w:t>Количество</w:t>
            </w:r>
          </w:p>
        </w:tc>
      </w:tr>
      <w:tr>
        <w:trPr>
          <w:trHeight w:val="193" w:hRule="atLeast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Cs w:val="26"/>
              </w:rPr>
              <w:t>1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Cs w:val="26"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Cs w:val="26"/>
              </w:rPr>
              <w:t>3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Cs w:val="26"/>
              </w:rPr>
              <w:t>4</w:t>
            </w:r>
          </w:p>
        </w:tc>
      </w:tr>
      <w:tr>
        <w:trPr/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lineRule="auto" w:line="240" w:before="0" w:after="0"/>
              <w:contextualSpacing w:val="false"/>
              <w:rPr>
                <w:rFonts w:ascii="Times New Roman" w:hAnsi="Times New Roman" w:cs="Times New Roman"/>
                <w:color w:val="000000"/>
                <w:szCs w:val="26"/>
              </w:rPr>
            </w:pPr>
            <w:r>
              <w:rPr>
                <w:rFonts w:cs="Times New Roman" w:ascii="Times New Roman" w:hAnsi="Times New Roman"/>
                <w:color w:val="000000"/>
                <w:szCs w:val="26"/>
              </w:rPr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Cs w:val="26"/>
              </w:rPr>
              <w:t>Капитальный ремонт ВЛ — 10 кВ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40" w:before="0" w:after="0"/>
              <w:contextualSpacing w:val="false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Cs w:val="26"/>
              </w:rPr>
              <w:t>Монтаж опоры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40" w:before="0" w:after="0"/>
              <w:contextualSpacing w:val="false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Cs w:val="26"/>
              </w:rPr>
              <w:t>Монтаж провода</w:t>
            </w: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i/>
                <w:szCs w:val="26"/>
              </w:rPr>
              <w:t xml:space="preserve">В соответствии с </w:t>
            </w:r>
            <w:r>
              <w:rPr>
                <w:rFonts w:eastAsia="Times New Roman" w:cs="Times New Roman" w:ascii="Times New Roman" w:hAnsi="Times New Roman"/>
                <w:bCs/>
                <w:i/>
                <w:szCs w:val="26"/>
                <w:lang w:eastAsia="ru-RU"/>
              </w:rPr>
              <w:t>дефектной ведомостью и объемов работ</w:t>
            </w:r>
            <w:r>
              <w:rPr>
                <w:rFonts w:cs="Times New Roman" w:ascii="Times New Roman" w:hAnsi="Times New Roman"/>
                <w:i/>
                <w:szCs w:val="26"/>
              </w:rPr>
              <w:t xml:space="preserve"> (Приложение № 1.1,1.2 к настоящим Техническим требованиям).</w:t>
            </w:r>
          </w:p>
        </w:tc>
      </w:tr>
      <w:tr>
        <w:trPr/>
        <w:tc>
          <w:tcPr>
            <w:tcW w:w="7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lineRule="auto" w:line="240" w:before="0" w:after="0"/>
              <w:contextualSpacing w:val="false"/>
              <w:rPr>
                <w:rFonts w:ascii="Times New Roman" w:hAnsi="Times New Roman" w:cs="Times New Roman"/>
                <w:color w:val="000000"/>
                <w:szCs w:val="26"/>
              </w:rPr>
            </w:pPr>
            <w:r>
              <w:rPr>
                <w:rFonts w:cs="Times New Roman" w:ascii="Times New Roman" w:hAnsi="Times New Roman"/>
                <w:color w:val="000000"/>
                <w:szCs w:val="26"/>
              </w:rPr>
            </w:r>
          </w:p>
        </w:tc>
        <w:tc>
          <w:tcPr>
            <w:tcW w:w="4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Cs w:val="26"/>
              </w:rPr>
              <w:t>Капитальный ремонт ТП — 10 кВ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40" w:before="0" w:after="0"/>
              <w:contextualSpacing w:val="false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Cs w:val="26"/>
              </w:rPr>
              <w:t>Монтаж корпуса КТП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lineRule="auto" w:line="240" w:before="0" w:after="0"/>
              <w:contextualSpacing w:val="false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Cs w:val="26"/>
              </w:rPr>
              <w:t>Монтаж трансформатора</w:t>
            </w:r>
          </w:p>
        </w:tc>
        <w:tc>
          <w:tcPr>
            <w:tcW w:w="42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i/>
                <w:szCs w:val="26"/>
              </w:rPr>
              <w:t xml:space="preserve">В соответствии с </w:t>
            </w:r>
            <w:r>
              <w:rPr>
                <w:rFonts w:eastAsia="Times New Roman" w:cs="Times New Roman" w:ascii="Times New Roman" w:hAnsi="Times New Roman"/>
                <w:bCs/>
                <w:i/>
                <w:szCs w:val="26"/>
                <w:lang w:eastAsia="ru-RU"/>
              </w:rPr>
              <w:t>дефектной ведомостью и объемов работ</w:t>
            </w:r>
            <w:r>
              <w:rPr>
                <w:rFonts w:cs="Times New Roman" w:ascii="Times New Roman" w:hAnsi="Times New Roman"/>
                <w:i/>
                <w:szCs w:val="26"/>
              </w:rPr>
              <w:t xml:space="preserve"> (Приложение № 1.3 к настоящим Техническим требованиям).</w:t>
            </w:r>
          </w:p>
        </w:tc>
      </w:tr>
    </w:tbl>
    <w:p>
      <w:pPr>
        <w:pStyle w:val="Heading2"/>
        <w:spacing w:before="0" w:after="57"/>
        <w:rPr>
          <w:color w:val="000000"/>
        </w:rPr>
      </w:pPr>
      <w:r>
        <w:rPr>
          <w:color w:val="000000"/>
        </w:rPr>
      </w:r>
    </w:p>
    <w:p>
      <w:pPr>
        <w:pStyle w:val="Heading2"/>
        <w:spacing w:before="0" w:after="57"/>
        <w:rPr>
          <w:color w:val="000000"/>
        </w:rPr>
      </w:pPr>
      <w:bookmarkStart w:id="29" w:name="__RefHeading___Toc1746_2290883248"/>
      <w:bookmarkEnd w:id="29"/>
      <w:r>
        <w:rPr>
          <w:rFonts w:cs="Times New Roman" w:ascii="Times New Roman" w:hAnsi="Times New Roman"/>
          <w:b/>
          <w:color w:val="000000"/>
        </w:rPr>
        <w:t>2</w:t>
      </w:r>
      <w:bookmarkStart w:id="30" w:name="_Toc139369633"/>
      <w:r>
        <w:rPr>
          <w:rFonts w:cs="Times New Roman" w:ascii="Times New Roman" w:hAnsi="Times New Roman"/>
          <w:b/>
          <w:color w:val="000000"/>
        </w:rPr>
        <w:t>.1.2. Требование к срокам выполнения работ</w:t>
      </w:r>
      <w:bookmarkEnd w:id="30"/>
    </w:p>
    <w:p>
      <w:pPr>
        <w:pStyle w:val="Heading2"/>
        <w:spacing w:lineRule="auto" w:line="360" w:before="0" w:after="57"/>
        <w:rPr>
          <w:color w:val="000000"/>
        </w:rPr>
      </w:pPr>
      <w:bookmarkStart w:id="31" w:name="__RefHeading___Toc1748_2290883248"/>
      <w:bookmarkStart w:id="32" w:name="_Toc139369634"/>
      <w:bookmarkStart w:id="33" w:name="_Toc135749175"/>
      <w:bookmarkEnd w:id="31"/>
      <w:r>
        <w:rPr>
          <w:rFonts w:cs="Times New Roman" w:ascii="Times New Roman" w:hAnsi="Times New Roman"/>
          <w:b/>
          <w:color w:val="000000"/>
        </w:rPr>
        <w:t>Таблица 3. Требование по срокам выполнения работ</w:t>
      </w:r>
      <w:bookmarkEnd w:id="32"/>
      <w:bookmarkEnd w:id="33"/>
    </w:p>
    <w:p>
      <w:pPr>
        <w:pStyle w:val="Normal"/>
        <w:spacing w:lineRule="auto" w:line="240" w:before="0" w:after="0"/>
        <w:rPr>
          <w:color w:val="000000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2"/>
          <w:szCs w:val="22"/>
          <w:shd w:fill="auto" w:val="clear"/>
        </w:rPr>
        <w:t xml:space="preserve">Начало выполнения работ - </w:t>
      </w:r>
      <w:r>
        <w:rPr>
          <w:rFonts w:eastAsia="Times New Roman" w:cs="" w:ascii="Times New Roman" w:hAnsi="Times New Roman" w:cstheme="minorBidi"/>
          <w:b w:val="false"/>
          <w:bCs w:val="false"/>
          <w:color w:val="000000"/>
          <w:kern w:val="0"/>
          <w:sz w:val="22"/>
          <w:szCs w:val="22"/>
          <w:shd w:fill="auto" w:val="clear"/>
          <w:lang w:val="ru-RU" w:eastAsia="ru-RU" w:bidi="ar-SA"/>
        </w:rPr>
        <w:t>С момента заключения договора</w:t>
      </w:r>
    </w:p>
    <w:p>
      <w:pPr>
        <w:pStyle w:val="Normal"/>
        <w:spacing w:lineRule="auto" w:line="240" w:before="0" w:after="0"/>
        <w:rPr>
          <w:color w:val="000000"/>
        </w:rPr>
      </w:pPr>
      <w:r>
        <w:rPr>
          <w:rFonts w:eastAsia="Times New Roman" w:cs="" w:ascii="Times New Roman" w:hAnsi="Times New Roman" w:cstheme="minorBidi"/>
          <w:b w:val="false"/>
          <w:bCs w:val="false"/>
          <w:color w:val="000000"/>
          <w:kern w:val="0"/>
          <w:sz w:val="22"/>
          <w:szCs w:val="22"/>
          <w:shd w:fill="auto" w:val="clear"/>
          <w:lang w:val="ru-RU" w:eastAsia="ru-RU" w:bidi="ar-SA"/>
        </w:rPr>
        <w:t>Окончания выполнения работ — В течении 12 месяцев с момента заключение договора.</w:t>
      </w:r>
    </w:p>
    <w:tbl>
      <w:tblPr>
        <w:tblW w:w="9747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271"/>
        <w:gridCol w:w="2693"/>
        <w:gridCol w:w="2807"/>
        <w:gridCol w:w="2975"/>
      </w:tblGrid>
      <w:tr>
        <w:trPr/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113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 xml:space="preserve">№ </w:t>
            </w: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п/п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113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Наименование работ/ этапа работ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keepNext w:val="false"/>
              <w:widowControl w:val="false"/>
              <w:spacing w:before="57" w:after="113"/>
              <w:jc w:val="center"/>
              <w:rPr>
                <w:color w:val="000000"/>
              </w:rPr>
            </w:pPr>
            <w:r>
              <w:rPr>
                <w:rFonts w:cs="" w:cstheme="minorBidi"/>
                <w:color w:val="000000"/>
                <w:szCs w:val="22"/>
              </w:rPr>
              <w:t>Требования к началу срока выполнения работ/ этапа работ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keepNext w:val="false"/>
              <w:widowControl w:val="false"/>
              <w:spacing w:before="57" w:after="113"/>
              <w:jc w:val="center"/>
              <w:rPr>
                <w:color w:val="000000"/>
              </w:rPr>
            </w:pPr>
            <w:r>
              <w:rPr>
                <w:rFonts w:cs="" w:cstheme="minorBidi"/>
                <w:color w:val="000000"/>
                <w:szCs w:val="22"/>
              </w:rPr>
              <w:t>Требования к окончанию срока выполнения работ /</w:t>
            </w:r>
          </w:p>
          <w:p>
            <w:pPr>
              <w:pStyle w:val="Style20"/>
              <w:keepNext w:val="false"/>
              <w:widowControl w:val="false"/>
              <w:spacing w:before="57" w:after="113"/>
              <w:jc w:val="center"/>
              <w:rPr>
                <w:color w:val="000000"/>
              </w:rPr>
            </w:pPr>
            <w:r>
              <w:rPr>
                <w:rFonts w:cs="" w:cstheme="minorBidi"/>
                <w:color w:val="000000"/>
                <w:szCs w:val="22"/>
              </w:rPr>
              <w:t>этапа работ</w:t>
            </w:r>
          </w:p>
        </w:tc>
      </w:tr>
      <w:tr>
        <w:trPr/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113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113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57" w:after="113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113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4</w:t>
            </w:r>
          </w:p>
        </w:tc>
      </w:tr>
      <w:tr>
        <w:trPr/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113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center"/>
              <w:outlineLvl w:val="0"/>
              <w:rPr>
                <w:i w:val="false"/>
                <w:i w:val="false"/>
                <w:iCs w:val="false"/>
                <w:u w:val="none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ВЛ-10 кВ Ф-75 «Ленинская»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" w:cstheme="minorBidi"/>
                <w:b w:val="false"/>
                <w:b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</w:pPr>
            <w:r>
              <w:rPr>
                <w:rFonts w:eastAsia="Times New Roman" w:cs="" w:ascii="Times New Roman" w:hAnsi="Times New Roman" w:cstheme="minorBidi"/>
                <w:b w:val="false"/>
                <w:b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 момента заключения договора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shd w:val="clear" w:color="auto" w:fill="FFFFFF"/>
              <w:tabs>
                <w:tab w:val="clear" w:pos="708"/>
                <w:tab w:val="left" w:pos="1418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/>
            </w:pPr>
            <w:r>
              <w:rPr>
                <w:rFonts w:eastAsia="Times New Roman" w:cs="" w:ascii="Times New Roman" w:hAnsi="Times New Roman" w:cstheme="minorBidi"/>
                <w:b w:val="false"/>
                <w:b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В течении 12 месяцев с момента заключение договора.</w:t>
            </w:r>
          </w:p>
        </w:tc>
      </w:tr>
      <w:tr>
        <w:trPr/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113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2.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0" w:hanging="0"/>
              <w:jc w:val="center"/>
              <w:outlineLvl w:val="0"/>
              <w:rPr>
                <w:u w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ВЛ-10 кВ Ф-204 «Чурки»</w:t>
            </w: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" w:cstheme="minorBidi"/>
                <w:b w:val="false"/>
                <w:b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</w:pPr>
            <w:r>
              <w:rPr>
                <w:rFonts w:eastAsia="Times New Roman" w:cs="" w:ascii="Times New Roman" w:hAnsi="Times New Roman" w:cstheme="minorBidi"/>
                <w:b w:val="false"/>
                <w:b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 момента заключения договора</w:t>
            </w:r>
          </w:p>
        </w:tc>
        <w:tc>
          <w:tcPr>
            <w:tcW w:w="2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shd w:val="clear" w:color="auto" w:fill="FFFFFF"/>
              <w:tabs>
                <w:tab w:val="clear" w:pos="708"/>
                <w:tab w:val="left" w:pos="1418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/>
            </w:pPr>
            <w:r>
              <w:rPr>
                <w:rFonts w:eastAsia="Times New Roman" w:cs="" w:ascii="Times New Roman" w:hAnsi="Times New Roman" w:cstheme="minorBidi"/>
                <w:b w:val="false"/>
                <w:b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В течении 12 месяцев с момента заключение договора.</w:t>
            </w:r>
          </w:p>
        </w:tc>
      </w:tr>
      <w:tr>
        <w:trPr/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113"/>
              <w:jc w:val="center"/>
              <w:rPr>
                <w:color w:val="000000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3.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0" w:after="0"/>
              <w:ind w:left="0" w:right="0" w:hanging="0"/>
              <w:jc w:val="center"/>
              <w:outlineLvl w:val="0"/>
              <w:rPr>
                <w:u w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u w:val="none"/>
                <w:shd w:fill="auto" w:val="clear"/>
                <w:lang w:val="ru-RU" w:eastAsia="ru-RU" w:bidi="ar-SA"/>
              </w:rPr>
              <w:t>КТПН №48 с ТМ 630/10/0,4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" w:cstheme="minorBidi"/>
                <w:b w:val="false"/>
                <w:b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</w:pPr>
            <w:r>
              <w:rPr>
                <w:rFonts w:eastAsia="Times New Roman" w:cs="" w:ascii="Times New Roman" w:hAnsi="Times New Roman" w:cstheme="minorBidi"/>
                <w:b w:val="false"/>
                <w:b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С момента заключения договора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shd w:val="clear" w:color="auto" w:fill="FFFFFF"/>
              <w:tabs>
                <w:tab w:val="clear" w:pos="708"/>
                <w:tab w:val="left" w:pos="1418" w:leader="none"/>
              </w:tabs>
              <w:spacing w:lineRule="auto" w:line="240" w:before="0" w:after="0"/>
              <w:ind w:left="0" w:hanging="0"/>
              <w:contextualSpacing w:val="false"/>
              <w:jc w:val="center"/>
              <w:rPr/>
            </w:pPr>
            <w:r>
              <w:rPr>
                <w:rFonts w:eastAsia="Times New Roman" w:cs="" w:ascii="Times New Roman" w:hAnsi="Times New Roman" w:cstheme="minorBidi"/>
                <w:b w:val="false"/>
                <w:bCs w:val="false"/>
                <w:color w:val="000000"/>
                <w:kern w:val="0"/>
                <w:sz w:val="22"/>
                <w:szCs w:val="22"/>
                <w:shd w:fill="auto" w:val="clear"/>
                <w:lang w:val="ru-RU" w:eastAsia="ru-RU" w:bidi="ar-SA"/>
              </w:rPr>
              <w:t>В течении 12 месяцев с момента заключение договора.</w:t>
            </w:r>
          </w:p>
        </w:tc>
      </w:tr>
    </w:tbl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Heading2"/>
        <w:spacing w:lineRule="auto" w:line="360" w:before="0" w:after="57"/>
        <w:rPr/>
      </w:pPr>
      <w:bookmarkStart w:id="34" w:name="__RefHeading___Toc1750_2290883248"/>
      <w:bookmarkStart w:id="35" w:name="_Toc139369635"/>
      <w:bookmarkEnd w:id="34"/>
      <w:r>
        <w:rPr>
          <w:rFonts w:cs="Times New Roman" w:ascii="Times New Roman" w:hAnsi="Times New Roman"/>
          <w:b/>
          <w:color w:val="000000"/>
        </w:rPr>
        <w:t>2.2. Требование к качеству работ</w:t>
      </w:r>
      <w:bookmarkEnd w:id="35"/>
    </w:p>
    <w:p>
      <w:pPr>
        <w:pStyle w:val="Heading2"/>
        <w:spacing w:lineRule="auto" w:line="360" w:before="0" w:after="57"/>
        <w:rPr/>
      </w:pPr>
      <w:bookmarkStart w:id="36" w:name="__RefHeading___Toc1752_2290883248"/>
      <w:bookmarkStart w:id="37" w:name="_Toc139369636"/>
      <w:bookmarkStart w:id="38" w:name="_Toc135749177"/>
      <w:bookmarkEnd w:id="36"/>
      <w:r>
        <w:rPr>
          <w:rFonts w:cs="Times New Roman" w:ascii="Times New Roman" w:hAnsi="Times New Roman"/>
          <w:b/>
          <w:color w:val="000000"/>
        </w:rPr>
        <w:t xml:space="preserve">Таблица 4. </w:t>
      </w:r>
      <w:bookmarkEnd w:id="4"/>
      <w:bookmarkEnd w:id="5"/>
      <w:bookmarkEnd w:id="6"/>
      <w:bookmarkEnd w:id="7"/>
      <w:bookmarkEnd w:id="8"/>
      <w:bookmarkEnd w:id="9"/>
      <w:r>
        <w:rPr>
          <w:rFonts w:cs="Times New Roman" w:ascii="Times New Roman" w:hAnsi="Times New Roman"/>
          <w:b/>
          <w:color w:val="000000"/>
        </w:rPr>
        <w:t>Требования к качеству работ</w:t>
      </w:r>
      <w:bookmarkEnd w:id="37"/>
      <w:bookmarkEnd w:id="38"/>
    </w:p>
    <w:tbl>
      <w:tblPr>
        <w:tblStyle w:val="af8"/>
        <w:tblW w:w="5000" w:type="pct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24"/>
        <w:gridCol w:w="2250"/>
        <w:gridCol w:w="3209"/>
        <w:gridCol w:w="3354"/>
      </w:tblGrid>
      <w:tr>
        <w:trPr/>
        <w:tc>
          <w:tcPr>
            <w:tcW w:w="824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225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320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335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824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25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20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335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</w:tr>
      <w:tr>
        <w:trPr>
          <w:trHeight w:val="344" w:hRule="atLeast"/>
        </w:trPr>
        <w:tc>
          <w:tcPr>
            <w:tcW w:w="8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22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32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335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Требования к выполнению работ</w:t>
            </w:r>
          </w:p>
        </w:tc>
        <w:tc>
          <w:tcPr>
            <w:tcW w:w="33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lineRule="auto" w:line="240" w:before="0" w:after="0"/>
              <w:ind w:left="-117" w:firstLine="142"/>
              <w:contextualSpacing w:val="false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Общие требования к выполнению работ</w:t>
            </w:r>
          </w:p>
        </w:tc>
        <w:tc>
          <w:tcPr>
            <w:tcW w:w="33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7"/>
              </w:numPr>
              <w:suppressAutoHyphens w:val="true"/>
              <w:spacing w:lineRule="auto" w:line="240" w:before="0" w:after="0"/>
              <w:ind w:left="1224" w:hanging="1199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Все работы выполняются в соответствии с настоящими Техническими требованиями и Ведомостью дефектов и объемов работ (Приложение № 1.1-1.3. к настоящим Техническим требованиям).</w:t>
            </w:r>
          </w:p>
        </w:tc>
        <w:tc>
          <w:tcPr>
            <w:tcW w:w="3354" w:type="dxa"/>
            <w:vMerge w:val="restart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 установленной в Документации о закупке</w:t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7"/>
              </w:numPr>
              <w:suppressAutoHyphens w:val="true"/>
              <w:spacing w:lineRule="auto" w:line="240" w:before="0" w:after="0"/>
              <w:ind w:left="1224" w:hanging="1199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Подрядчик создает условия для проживания своего персонала на объекте</w:t>
            </w:r>
          </w:p>
        </w:tc>
        <w:tc>
          <w:tcPr>
            <w:tcW w:w="3354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i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7"/>
              </w:numPr>
              <w:suppressAutoHyphens w:val="true"/>
              <w:spacing w:lineRule="auto" w:line="240" w:before="0" w:after="0"/>
              <w:ind w:left="1224" w:hanging="1199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После выполнения полного объема работ Подрядчик: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производит уборку рабочего места от посторонних предметов, механизмов, приспособлений, отходов;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подписывает акт о приеме-сдаче отремонтированных, реконструированных, модернизированных объектов основных средств (форма № ОС-3)</w:t>
            </w:r>
          </w:p>
        </w:tc>
        <w:tc>
          <w:tcPr>
            <w:tcW w:w="3354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i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7"/>
              </w:numPr>
              <w:suppressAutoHyphens w:val="true"/>
              <w:spacing w:lineRule="auto" w:line="240" w:before="0" w:after="0"/>
              <w:ind w:left="1224" w:hanging="1199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Материалы и оборудование, высвобождаемые после демонтажа, передаются Заказчику с оформлением акта передачи. Демонтированные материалы вывозятся самостоятельно Подрядчиком на базу Заказчика</w:t>
            </w:r>
          </w:p>
        </w:tc>
        <w:tc>
          <w:tcPr>
            <w:tcW w:w="3354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lineRule="auto" w:line="240" w:before="0" w:after="0"/>
              <w:ind w:left="-117" w:firstLine="142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en-US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en-US" w:eastAsia="ru-RU" w:bidi="ar-SA"/>
              </w:rPr>
            </w:r>
          </w:p>
        </w:tc>
        <w:tc>
          <w:tcPr>
            <w:tcW w:w="545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Требования к организации работ</w:t>
            </w:r>
          </w:p>
        </w:tc>
        <w:tc>
          <w:tcPr>
            <w:tcW w:w="33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7"/>
              </w:numPr>
              <w:suppressAutoHyphens w:val="true"/>
              <w:spacing w:lineRule="auto" w:line="240" w:before="0" w:after="0"/>
              <w:ind w:left="1224" w:hanging="1199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Работы выполняются по проекту производства работ (ППР) разработанных Подрядчиком или  Технологической карте (ТК)</w:t>
            </w:r>
          </w:p>
        </w:tc>
        <w:tc>
          <w:tcPr>
            <w:tcW w:w="3354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 установленной в Документации о закупке</w:t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7"/>
              </w:numPr>
              <w:suppressAutoHyphens w:val="true"/>
              <w:spacing w:lineRule="auto" w:line="240" w:before="0" w:after="0"/>
              <w:ind w:left="1224" w:hanging="1199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Заявка на вывод оборудования в ремонт подается Подрядчиком не позднее 15 рабочих дней до начала производства работ</w:t>
            </w:r>
          </w:p>
        </w:tc>
        <w:tc>
          <w:tcPr>
            <w:tcW w:w="335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i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lineRule="auto" w:line="240" w:before="0" w:after="0"/>
              <w:ind w:left="-117" w:firstLine="142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33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7"/>
              </w:numPr>
              <w:suppressAutoHyphens w:val="true"/>
              <w:spacing w:lineRule="auto" w:line="240" w:before="0" w:after="0"/>
              <w:ind w:left="1224" w:hanging="1199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Материалы, предоставляемые Подрядчиком,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Подготовка и хранение материалов производится вне рабочей зоны. Оборудование и материалы доставляются к месту производства работ Подрядчиком самостоятельно готовыми к применению</w:t>
            </w:r>
          </w:p>
        </w:tc>
        <w:tc>
          <w:tcPr>
            <w:tcW w:w="33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 установленной в Документации о закупке</w:t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lineRule="auto" w:line="240" w:before="0" w:after="0"/>
              <w:ind w:left="-117" w:firstLine="142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Требования к контролю качества работ и материалов</w:t>
            </w:r>
          </w:p>
        </w:tc>
        <w:tc>
          <w:tcPr>
            <w:tcW w:w="33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7"/>
              </w:numPr>
              <w:suppressAutoHyphens w:val="true"/>
              <w:spacing w:lineRule="auto" w:line="240" w:before="0" w:after="0"/>
              <w:ind w:left="1224" w:hanging="1199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</w:t>
            </w:r>
          </w:p>
        </w:tc>
        <w:tc>
          <w:tcPr>
            <w:tcW w:w="33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 установленной в Документации о закупке</w:t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lineRule="auto" w:line="240" w:before="0" w:after="0"/>
              <w:ind w:left="-117" w:firstLine="142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Требования к безопасности работ и охране труда</w:t>
            </w:r>
          </w:p>
        </w:tc>
        <w:tc>
          <w:tcPr>
            <w:tcW w:w="33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7"/>
              </w:numPr>
              <w:suppressAutoHyphens w:val="true"/>
              <w:spacing w:lineRule="auto" w:line="240" w:before="0" w:after="0"/>
              <w:ind w:left="1224" w:hanging="1199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418" w:leader="none"/>
              </w:tabs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Ремонт выполняется на основании договора-подряда. 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18" w:leader="none"/>
              </w:tabs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Правила технической эксплуатации электрических станций и сетей РФ;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18" w:leader="none"/>
              </w:tabs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СП 48.13330.2019 "СНиП 12-01-2004 «Организация строительства"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18" w:leader="none"/>
              </w:tabs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ГОСТ Р 59053-2020 «Охрана окружающей среды. Охрана и рациональное использование вод. Термины и определения»;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18" w:leader="none"/>
              </w:tabs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18" w:leader="none"/>
              </w:tabs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Правила противопожарного режима в РФ, утвержденные Постановлением Правительства РФ от 16.09.2020 №1479 «О противопожарном режиме».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18" w:leader="none"/>
              </w:tabs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Правила организации технического обслуживания и ремонта объектов электроэнергетики (приказ Министерства Энергетики РФ от 25 октября 2017 г. N 1013) (ред. от 13.07.2020);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18" w:leader="none"/>
              </w:tabs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ГОСТ 12.4.026-2015. Межгосударственный стандарт. Система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испытаний» (введен в действие Приказом Росстандарта от 10.06.2016 N 614-ст); (ред. от 29.11.2018)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18" w:leader="none"/>
              </w:tabs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Правилами по охране труда при эксплуатации электроустановок (Приказ Минтруда РФ от 15.12.2020 № 903н). в частности организации допуска работников монтажной организации к работам в электроустановках АО «ДРСК» в качестве командированного персонала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18" w:leader="none"/>
              </w:tabs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Постановление правительства РФ № 160 от 24.02.2009 (ред. от 21.12.2018)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18" w:leader="none"/>
              </w:tabs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Типовыми технологическими картами;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18" w:leader="none"/>
              </w:tabs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Другими действующими руководящими документами</w:t>
            </w:r>
          </w:p>
        </w:tc>
        <w:tc>
          <w:tcPr>
            <w:tcW w:w="3354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 установленной в Документации о закупке</w:t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7"/>
              </w:numPr>
              <w:suppressAutoHyphens w:val="true"/>
              <w:spacing w:lineRule="auto" w:line="240" w:before="0" w:after="0"/>
              <w:ind w:left="1224" w:hanging="1199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Обеспечить выполнение требований Правил по охране труда при эксплуатации электроустановок (Приказ от 15 декабря 2021 г. № 930н)</w:t>
            </w:r>
          </w:p>
        </w:tc>
        <w:tc>
          <w:tcPr>
            <w:tcW w:w="335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i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7"/>
              </w:numPr>
              <w:suppressAutoHyphens w:val="true"/>
              <w:spacing w:lineRule="auto" w:line="240" w:before="0" w:after="0"/>
              <w:ind w:left="1224" w:hanging="1199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Выполнять следующие виды работ с использованием комплектов для защиты от термических рисков электрической дуги (далее СИЗ):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без снятия напряжения с электроустановки, выполняемых с прикосновением к токоведущим частям, находящимся под напряжением или на расстоянии от этих токоведущих частей, менее указанных в п.3.3 и п.47.15 ПОТ ЭЭУ;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испытаниях оборудования повышенным напряжением;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выполняемых со снятием рабочего напряжения с электроустановки или ее части с прикосновением к токоведущим частям, находящимся под наведенным напряжением более 25 В на рабочем месте или на расстоянии от этих токоведущих частей менее допустимого;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иных работ, разрешенных к выполнению под напряжением на токоведущих частях в электроустановках, в соответствии с утвержденным перечнем работ в филиале АО «ДРСК» с учетом требований ПОТ ЭЭУ</w:t>
            </w:r>
          </w:p>
        </w:tc>
        <w:tc>
          <w:tcPr>
            <w:tcW w:w="335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7"/>
              </w:numPr>
              <w:suppressAutoHyphens w:val="true"/>
              <w:spacing w:lineRule="auto" w:line="240" w:before="0" w:after="0"/>
              <w:ind w:left="1224" w:hanging="1199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Подрядчик: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обеспечивает участие своего персонала в получении вводного и первичного на рабочем месте инструктажа, проводимых персоналом Заказчика с применение видеофиксации;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обеспечивает участие своего персонала, допускаемого в электроустановки Заказчика в качестве командированного персонала или в качестве строительно-монтажных (ремонтах, наладочных) организацией, в проводимых персоналом Заказчика видеофиксации допусков персонала Подрядчика к работе в электроустановках Заказчика;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обеспечивает участие своего персонала, выполняющего работы на объектах Общества в составе бригад с применение видеофиксации;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- совместно с уведомлением о допуске (сопроводительным письмом) обеспечивает предоставление согласии вышеуказанного персонала на обработку персональных данных по форме Приложения 3 к техническим требованиям.</w:t>
            </w:r>
          </w:p>
        </w:tc>
        <w:tc>
          <w:tcPr>
            <w:tcW w:w="335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i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Требования к результатам работ</w:t>
            </w:r>
          </w:p>
        </w:tc>
        <w:tc>
          <w:tcPr>
            <w:tcW w:w="33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suppressAutoHyphens w:val="true"/>
              <w:spacing w:lineRule="auto" w:line="240" w:before="0" w:after="0"/>
              <w:ind w:left="-117" w:firstLine="142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Требования к порядку приемки результатов работ</w:t>
            </w:r>
          </w:p>
        </w:tc>
        <w:tc>
          <w:tcPr>
            <w:tcW w:w="33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7"/>
              </w:numPr>
              <w:suppressAutoHyphens w:val="true"/>
              <w:spacing w:lineRule="auto" w:line="240" w:before="0" w:after="0"/>
              <w:ind w:left="1224" w:hanging="1199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Приёмка объекта из ремонта осуществляется в соответствии с «Правилами организации технического обслуживания и ремонта объектов электроэнергетики», утвержденных приказом Минэнерго России от 25.10.2017 № 1013, с оформлением и передачей заказчику Акта сдачи-приемки и необходимой исполнительной документации</w:t>
            </w:r>
          </w:p>
        </w:tc>
        <w:tc>
          <w:tcPr>
            <w:tcW w:w="33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 установленной в Документации о закупке</w:t>
            </w:r>
          </w:p>
        </w:tc>
      </w:tr>
      <w:tr>
        <w:trPr/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spacing w:lineRule="auto" w:line="240" w:before="0" w:after="0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Требования к ответственности и гарантиям подрядчика</w:t>
            </w:r>
          </w:p>
        </w:tc>
        <w:tc>
          <w:tcPr>
            <w:tcW w:w="33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>
          <w:trHeight w:val="2438" w:hRule="atLeast"/>
        </w:trPr>
        <w:tc>
          <w:tcPr>
            <w:tcW w:w="82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7"/>
              </w:numPr>
              <w:suppressAutoHyphens w:val="true"/>
              <w:spacing w:lineRule="auto" w:line="240" w:before="0" w:after="0"/>
              <w:ind w:left="1224" w:hanging="1199"/>
              <w:contextualSpacing w:val="false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45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 Гарантия на материалы, поставляемые Подрядчиком не менее 24-х месяцев</w:t>
            </w:r>
          </w:p>
        </w:tc>
        <w:tc>
          <w:tcPr>
            <w:tcW w:w="33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 установленной в Документации о закупке</w:t>
            </w:r>
          </w:p>
        </w:tc>
      </w:tr>
    </w:tbl>
    <w:p>
      <w:pPr>
        <w:pStyle w:val="Normal"/>
        <w:spacing w:lineRule="auto" w:line="240" w:before="0" w:after="57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Heading2"/>
        <w:numPr>
          <w:ilvl w:val="0"/>
          <w:numId w:val="8"/>
        </w:numPr>
        <w:spacing w:lineRule="auto" w:line="240" w:before="0" w:after="57"/>
        <w:ind w:left="-567" w:hanging="0"/>
        <w:jc w:val="center"/>
        <w:rPr/>
      </w:pPr>
      <w:bookmarkStart w:id="39" w:name="__RefHeading___Toc1754_2290883248"/>
      <w:bookmarkStart w:id="40" w:name="_Toc54643137"/>
      <w:bookmarkStart w:id="41" w:name="_Toc54279844"/>
      <w:bookmarkStart w:id="42" w:name="_Toc139369637"/>
      <w:bookmarkStart w:id="43" w:name="_Toc54618151"/>
      <w:bookmarkEnd w:id="39"/>
      <w:r>
        <w:rPr>
          <w:rFonts w:cs="Times New Roman" w:ascii="Times New Roman" w:hAnsi="Times New Roman"/>
          <w:b/>
          <w:color w:val="000000"/>
          <w:sz w:val="28"/>
        </w:rPr>
        <w:t>Требования к документации по ценообразованию на этапе закупки</w:t>
      </w:r>
      <w:bookmarkEnd w:id="40"/>
      <w:bookmarkEnd w:id="41"/>
      <w:bookmarkEnd w:id="42"/>
      <w:bookmarkEnd w:id="43"/>
    </w:p>
    <w:p>
      <w:pPr>
        <w:pStyle w:val="Heading4"/>
        <w:spacing w:before="0" w:after="57"/>
        <w:ind w:left="0" w:firstLine="708"/>
        <w:rPr/>
      </w:pPr>
      <w:bookmarkStart w:id="44" w:name="__RefHeading___Toc1756_2290883248"/>
      <w:bookmarkEnd w:id="44"/>
      <w:r>
        <w:rPr>
          <w:b w:val="false"/>
          <w:color w:val="000000"/>
          <w:sz w:val="26"/>
          <w:szCs w:val="26"/>
          <w:lang w:val="ru-RU"/>
        </w:rPr>
        <w:t xml:space="preserve">3.1. </w:t>
      </w:r>
      <w:r>
        <w:rPr>
          <w:b w:val="false"/>
          <w:color w:val="000000"/>
          <w:sz w:val="26"/>
          <w:szCs w:val="26"/>
        </w:rPr>
        <w:t xml:space="preserve">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коэффициента), с учетом </w:t>
      </w:r>
      <w:r>
        <w:rPr>
          <w:b w:val="false"/>
          <w:color w:val="000000"/>
          <w:sz w:val="26"/>
          <w:szCs w:val="26"/>
          <w:lang w:eastAsia="ru-RU"/>
        </w:rPr>
        <w:t>требований к ценообразованию при формировании Коммерческого предложения в составе заявки участника</w:t>
      </w:r>
      <w:r>
        <w:rPr>
          <w:b w:val="false"/>
          <w:color w:val="000000"/>
          <w:sz w:val="26"/>
          <w:szCs w:val="26"/>
        </w:rPr>
        <w:t xml:space="preserve"> (приложение 4 к Техническим требованиям)</w:t>
      </w:r>
      <w:r>
        <w:rPr>
          <w:b w:val="false"/>
          <w:color w:val="000000"/>
          <w:sz w:val="26"/>
          <w:szCs w:val="26"/>
          <w:lang w:val="ru-RU"/>
        </w:rPr>
        <w:t>.</w:t>
      </w:r>
    </w:p>
    <w:p>
      <w:pPr>
        <w:pStyle w:val="Heading4"/>
        <w:spacing w:before="0" w:after="57"/>
        <w:ind w:left="0" w:firstLine="708"/>
        <w:rPr>
          <w:color w:val="000000"/>
        </w:rPr>
      </w:pPr>
      <w:bookmarkStart w:id="45" w:name="__RefHeading___Toc1758_2290883248"/>
      <w:bookmarkEnd w:id="45"/>
      <w:r>
        <w:rPr>
          <w:b w:val="false"/>
          <w:color w:val="000000"/>
          <w:sz w:val="26"/>
          <w:szCs w:val="26"/>
          <w:lang w:val="ru-RU"/>
        </w:rPr>
        <w:t xml:space="preserve">3.2. </w:t>
      </w:r>
      <w:r>
        <w:rPr>
          <w:b w:val="false"/>
          <w:color w:val="000000"/>
          <w:sz w:val="26"/>
          <w:szCs w:val="26"/>
        </w:rPr>
        <w:t>Дополнительные документы по ценообразованию (сметная документация) в состав заявки Участника не включаются.</w:t>
      </w:r>
    </w:p>
    <w:p>
      <w:pPr>
        <w:pStyle w:val="Normal"/>
        <w:spacing w:before="0" w:after="57"/>
        <w:rPr>
          <w:color w:val="000000"/>
          <w:lang w:val="x-none" w:eastAsia="x-none"/>
        </w:rPr>
      </w:pPr>
      <w:r>
        <w:rPr>
          <w:color w:val="000000"/>
          <w:lang w:val="x-none" w:eastAsia="x-none"/>
        </w:rPr>
      </w:r>
    </w:p>
    <w:p>
      <w:pPr>
        <w:pStyle w:val="Heading2"/>
        <w:numPr>
          <w:ilvl w:val="0"/>
          <w:numId w:val="8"/>
        </w:numPr>
        <w:spacing w:lineRule="auto" w:line="240" w:before="0" w:after="57"/>
        <w:ind w:left="0" w:hanging="0"/>
        <w:jc w:val="both"/>
        <w:rPr>
          <w:color w:val="000000"/>
        </w:rPr>
      </w:pPr>
      <w:bookmarkStart w:id="46" w:name="__RefHeading___Toc1760_2290883248"/>
      <w:bookmarkStart w:id="47" w:name="_Toc139369638"/>
      <w:bookmarkEnd w:id="46"/>
      <w:r>
        <w:rPr>
          <w:rFonts w:eastAsia="Times New Roman" w:cs="Times New Roman" w:ascii="Times New Roman" w:hAnsi="Times New Roman"/>
          <w:b/>
          <w:color w:val="000000"/>
          <w:sz w:val="28"/>
          <w:lang w:eastAsia="ru-RU"/>
        </w:rPr>
        <w:t>Требование к документации по ценообразованию на этапе</w:t>
      </w:r>
      <w:bookmarkEnd w:id="47"/>
      <w:r>
        <w:rPr>
          <w:rFonts w:eastAsia="Times New Roman" w:cs="Times New Roman" w:ascii="Times New Roman" w:hAnsi="Times New Roman"/>
          <w:b/>
          <w:color w:val="000000"/>
          <w:sz w:val="28"/>
          <w:lang w:eastAsia="ru-RU"/>
        </w:rPr>
        <w:t xml:space="preserve"> </w:t>
      </w:r>
    </w:p>
    <w:p>
      <w:pPr>
        <w:pStyle w:val="Heading2"/>
        <w:spacing w:lineRule="auto" w:line="240" w:before="0" w:after="57"/>
        <w:jc w:val="center"/>
        <w:rPr>
          <w:color w:val="000000"/>
        </w:rPr>
      </w:pPr>
      <w:bookmarkStart w:id="48" w:name="__RefHeading___Toc1762_2290883248"/>
      <w:bookmarkStart w:id="49" w:name="_Toc139369639"/>
      <w:bookmarkEnd w:id="48"/>
      <w:r>
        <w:rPr>
          <w:rFonts w:eastAsia="Times New Roman" w:cs="Times New Roman" w:ascii="Times New Roman" w:hAnsi="Times New Roman"/>
          <w:b/>
          <w:color w:val="000000"/>
          <w:sz w:val="28"/>
          <w:lang w:eastAsia="ru-RU"/>
        </w:rPr>
        <w:t>заключения договора</w:t>
      </w:r>
      <w:bookmarkEnd w:id="49"/>
    </w:p>
    <w:p>
      <w:pPr>
        <w:pStyle w:val="Heading4"/>
        <w:spacing w:before="0" w:after="57"/>
        <w:ind w:left="0" w:firstLine="708"/>
        <w:rPr>
          <w:color w:val="000000"/>
        </w:rPr>
      </w:pPr>
      <w:bookmarkStart w:id="50" w:name="__RefHeading___Toc1764_2290883248"/>
      <w:bookmarkEnd w:id="50"/>
      <w:r>
        <w:rPr>
          <w:b w:val="false"/>
          <w:color w:val="000000"/>
          <w:sz w:val="26"/>
          <w:szCs w:val="26"/>
        </w:rPr>
        <w:t>4.1. Сметная документация разработана заказчиком в рамках определения начальной (максимальной) цены договора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>
      <w:pPr>
        <w:pStyle w:val="Heading4"/>
        <w:spacing w:before="0" w:after="57"/>
        <w:ind w:left="0" w:firstLine="708"/>
        <w:rPr>
          <w:color w:val="000000"/>
        </w:rPr>
      </w:pPr>
      <w:bookmarkStart w:id="51" w:name="__RefHeading___Toc1766_2290883248"/>
      <w:bookmarkEnd w:id="51"/>
      <w:r>
        <w:rPr>
          <w:b w:val="false"/>
          <w:color w:val="000000"/>
          <w:sz w:val="26"/>
          <w:szCs w:val="26"/>
        </w:rPr>
        <w:t>4.2. Внесение изменений в сметную документацию заказчика, кроме применения понижающего коэффициента в соответствии с п.4.1, не допускается.</w:t>
      </w:r>
    </w:p>
    <w:p>
      <w:pPr>
        <w:pStyle w:val="Normal"/>
        <w:spacing w:lineRule="auto" w:line="240" w:before="0" w:after="57"/>
        <w:rPr>
          <w:color w:val="000000"/>
          <w:lang w:val="x-none" w:eastAsia="x-none"/>
        </w:rPr>
      </w:pPr>
      <w:r>
        <w:rPr>
          <w:color w:val="000000"/>
          <w:lang w:val="x-none" w:eastAsia="x-none"/>
        </w:rPr>
      </w:r>
    </w:p>
    <w:p>
      <w:pPr>
        <w:pStyle w:val="Heading2"/>
        <w:numPr>
          <w:ilvl w:val="0"/>
          <w:numId w:val="6"/>
        </w:numPr>
        <w:spacing w:lineRule="auto" w:line="240" w:before="0" w:after="57"/>
        <w:ind w:left="0" w:hanging="11"/>
        <w:jc w:val="center"/>
        <w:rPr>
          <w:color w:val="000000"/>
        </w:rPr>
      </w:pPr>
      <w:bookmarkStart w:id="52" w:name="__RefHeading___Toc1768_2290883248"/>
      <w:bookmarkStart w:id="53" w:name="_Toc139369640"/>
      <w:bookmarkEnd w:id="52"/>
      <w:r>
        <w:rPr>
          <w:rFonts w:eastAsia="Times New Roman" w:cs="Times New Roman" w:ascii="Times New Roman" w:hAnsi="Times New Roman"/>
          <w:b/>
          <w:color w:val="000000"/>
          <w:lang w:eastAsia="ru-RU"/>
        </w:rPr>
        <w:t>Приложения</w:t>
      </w:r>
      <w:bookmarkEnd w:id="53"/>
    </w:p>
    <w:p>
      <w:pPr>
        <w:pStyle w:val="Normal"/>
        <w:spacing w:lineRule="auto" w:line="240" w:before="0" w:after="57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6"/>
          <w:szCs w:val="26"/>
        </w:rPr>
        <w:t>Приложение № 1.1-1.3 Ведомость дефектов и объемов работ;</w:t>
      </w:r>
    </w:p>
    <w:p>
      <w:pPr>
        <w:pStyle w:val="Normal"/>
        <w:spacing w:lineRule="auto" w:line="240" w:before="0" w:after="57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6"/>
          <w:szCs w:val="26"/>
        </w:rPr>
        <w:t>Приложение № 2.1-2.3 Локальный сетный расчет;</w:t>
      </w:r>
    </w:p>
    <w:p>
      <w:pPr>
        <w:pStyle w:val="Normal"/>
        <w:spacing w:lineRule="auto" w:line="240" w:before="0" w:after="57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6"/>
          <w:szCs w:val="26"/>
        </w:rPr>
        <w:t>Приложение № 3</w:t>
      </w:r>
      <w:bookmarkStart w:id="54" w:name="_Toc54643140"/>
      <w:bookmarkStart w:id="55" w:name="_Toc54451385"/>
      <w:r>
        <w:rPr>
          <w:rFonts w:cs="Times New Roman" w:ascii="Times New Roman" w:hAnsi="Times New Roman"/>
          <w:color w:val="000000"/>
          <w:sz w:val="26"/>
          <w:szCs w:val="26"/>
        </w:rPr>
        <w:t xml:space="preserve"> Согласие на обработку персональных данных</w:t>
      </w:r>
      <w:bookmarkEnd w:id="54"/>
      <w:bookmarkEnd w:id="55"/>
      <w:r>
        <w:rPr>
          <w:rFonts w:cs="Times New Roman" w:ascii="Times New Roman" w:hAnsi="Times New Roman"/>
          <w:color w:val="000000"/>
          <w:sz w:val="26"/>
          <w:szCs w:val="26"/>
        </w:rPr>
        <w:t>;</w:t>
      </w:r>
    </w:p>
    <w:p>
      <w:pPr>
        <w:pStyle w:val="Normal"/>
        <w:spacing w:lineRule="auto" w:line="240" w:before="0" w:after="57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6"/>
          <w:szCs w:val="26"/>
        </w:rPr>
        <w:t>Приложение № 4 Требования к оформлению и составлению документации по ценообразованию.</w:t>
      </w:r>
    </w:p>
    <w:sectPr>
      <w:footerReference w:type="default" r:id="rId3"/>
      <w:type w:val="nextPage"/>
      <w:pgSz w:w="11906" w:h="16838"/>
      <w:pgMar w:left="1559" w:right="709" w:gutter="0" w:header="0" w:top="1134" w:footer="709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2"/>
    <w:family w:val="auto"/>
    <w:pitch w:val="fixed"/>
  </w:font>
  <w:font w:name="Courier New">
    <w:charset w:val="01"/>
    <w:family w:val="modern"/>
    <w:pitch w:val="fixed"/>
  </w:font>
  <w:font w:name="Wingdings">
    <w:charset w:val="02"/>
    <w:family w:val="auto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3046110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9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sz w:val="24"/>
        <w:b/>
        <w:szCs w:val="24"/>
      </w:rPr>
    </w:lvl>
    <w:lvl w:ilvl="1">
      <w:start w:val="1"/>
      <w:numFmt w:val="decimal"/>
      <w:lvlText w:val="%1.%2."/>
      <w:lvlJc w:val="center"/>
      <w:pPr>
        <w:tabs>
          <w:tab w:val="num" w:pos="0"/>
        </w:tabs>
        <w:ind w:left="502" w:hanging="360"/>
      </w:pPr>
      <w:rPr>
        <w:b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3"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2"/>
      <w:numFmt w:val="decimal"/>
      <w:lvlText w:val="%1.%2."/>
      <w:lvlJc w:val="left"/>
      <w:pPr>
        <w:tabs>
          <w:tab w:val="num" w:pos="0"/>
        </w:tabs>
        <w:ind w:left="644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1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4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52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2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8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16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44" w:hanging="180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3"/>
      <w:numFmt w:val="decimal"/>
      <w:lvlText w:val="%1."/>
      <w:lvlJc w:val="left"/>
      <w:pPr>
        <w:tabs>
          <w:tab w:val="num" w:pos="0"/>
        </w:tabs>
        <w:ind w:left="644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qFormat/>
    <w:rsid w:val="00d25bbe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d67d63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3"/>
    <w:autoRedefine/>
    <w:qFormat/>
    <w:rsid w:val="00817149"/>
    <w:pPr>
      <w:keepNext w:val="true"/>
      <w:spacing w:lineRule="auto" w:line="240" w:before="120" w:after="60"/>
      <w:ind w:left="709" w:hanging="709"/>
      <w:jc w:val="both"/>
      <w:outlineLvl w:val="2"/>
    </w:pPr>
    <w:rPr>
      <w:rFonts w:ascii="Times New Roman" w:hAnsi="Times New Roman" w:eastAsia="Calibri" w:cs="Times New Roman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817149"/>
    <w:pPr>
      <w:ind w:left="432" w:hanging="432"/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unhideWhenUsed/>
    <w:qFormat/>
    <w:rsid w:val="00bb69cf"/>
    <w:pPr>
      <w:keepNext w:val="true"/>
      <w:keepLines/>
      <w:spacing w:before="40" w:after="0"/>
      <w:outlineLvl w:val="4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</w:rPr>
  </w:style>
  <w:style w:type="paragraph" w:styleId="Heading6">
    <w:name w:val="Heading 6"/>
    <w:basedOn w:val="Normal"/>
    <w:next w:val="Normal"/>
    <w:link w:val="6"/>
    <w:uiPriority w:val="9"/>
    <w:unhideWhenUsed/>
    <w:qFormat/>
    <w:rsid w:val="00bb69cf"/>
    <w:pPr>
      <w:keepNext w:val="true"/>
      <w:keepLines/>
      <w:spacing w:before="40" w:after="0"/>
      <w:outlineLvl w:val="5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3" w:customStyle="1">
    <w:name w:val="Заголовок для сожерж Знак"/>
    <w:link w:val="Style17"/>
    <w:qFormat/>
    <w:rsid w:val="00d25bb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d25bbe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character" w:styleId="Style4" w:customStyle="1">
    <w:name w:val="Текст примечания Знак"/>
    <w:basedOn w:val="DefaultParagraphFont"/>
    <w:link w:val="Annotationtext"/>
    <w:qFormat/>
    <w:rsid w:val="00d25bbe"/>
    <w:rPr>
      <w:sz w:val="20"/>
      <w:szCs w:val="20"/>
    </w:rPr>
  </w:style>
  <w:style w:type="character" w:styleId="Style5" w:customStyle="1">
    <w:name w:val="Абзац списка Знак"/>
    <w:link w:val="ListParagraph"/>
    <w:uiPriority w:val="34"/>
    <w:qFormat/>
    <w:rsid w:val="00d25bbe"/>
    <w:rPr/>
  </w:style>
  <w:style w:type="character" w:styleId="Style6" w:customStyle="1">
    <w:name w:val="Основной текст Знак"/>
    <w:basedOn w:val="DefaultParagraphFont"/>
    <w:qFormat/>
    <w:rsid w:val="00be2fea"/>
    <w:rPr>
      <w:rFonts w:ascii="Times New Roman" w:hAnsi="Times New Roman" w:eastAsia="Times New Roman" w:cs="Times New Roman"/>
      <w:color w:val="000000"/>
      <w:spacing w:val="5"/>
      <w:sz w:val="20"/>
      <w:szCs w:val="24"/>
      <w:shd w:fill="FFFFFF" w:val="clear"/>
      <w:lang w:eastAsia="ru-RU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e334d7"/>
    <w:rPr>
      <w:rFonts w:ascii="Segoe UI" w:hAnsi="Segoe UI" w:cs="Segoe UI"/>
      <w:sz w:val="18"/>
      <w:szCs w:val="18"/>
    </w:rPr>
  </w:style>
  <w:style w:type="character" w:styleId="3" w:customStyle="1">
    <w:name w:val="Заголовок 3 Знак"/>
    <w:basedOn w:val="DefaultParagraphFont"/>
    <w:qFormat/>
    <w:rsid w:val="00817149"/>
    <w:rPr>
      <w:rFonts w:ascii="Times New Roman" w:hAnsi="Times New Roman" w:eastAsia="Calibri" w:cs="Times New Roman"/>
      <w:b/>
      <w:sz w:val="24"/>
      <w:szCs w:val="24"/>
      <w:lang w:val="x-none" w:eastAsia="x-none"/>
    </w:rPr>
  </w:style>
  <w:style w:type="character" w:styleId="4" w:customStyle="1">
    <w:name w:val="Заголовок 4 Знак"/>
    <w:basedOn w:val="DefaultParagraphFont"/>
    <w:qFormat/>
    <w:rsid w:val="00817149"/>
    <w:rPr>
      <w:rFonts w:ascii="Times New Roman" w:hAnsi="Times New Roman" w:eastAsia="Calibri" w:cs="Times New Roman"/>
      <w:b/>
      <w:bCs/>
      <w:sz w:val="24"/>
      <w:szCs w:val="24"/>
      <w:lang w:val="x-none" w:eastAsia="x-none"/>
    </w:rPr>
  </w:style>
  <w:style w:type="character" w:styleId="2" w:customStyle="1">
    <w:name w:val="Заголовок 2 Знак"/>
    <w:basedOn w:val="DefaultParagraphFont"/>
    <w:uiPriority w:val="9"/>
    <w:qFormat/>
    <w:rsid w:val="00d67d63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d67d63"/>
    <w:rPr>
      <w:color w:val="0563C1" w:themeColor="hyperlink"/>
      <w:u w:val="single"/>
    </w:rPr>
  </w:style>
  <w:style w:type="character" w:styleId="Style8" w:customStyle="1">
    <w:name w:val="Верхний колонтитул Знак"/>
    <w:basedOn w:val="DefaultParagraphFont"/>
    <w:uiPriority w:val="99"/>
    <w:qFormat/>
    <w:rsid w:val="00d67d63"/>
    <w:rPr/>
  </w:style>
  <w:style w:type="character" w:styleId="Style9" w:customStyle="1">
    <w:name w:val="Нижний колонтитул Знак"/>
    <w:basedOn w:val="DefaultParagraphFont"/>
    <w:uiPriority w:val="99"/>
    <w:qFormat/>
    <w:rsid w:val="00d67d63"/>
    <w:rPr/>
  </w:style>
  <w:style w:type="character" w:styleId="21" w:customStyle="1">
    <w:name w:val="Основной текст 2 Знак"/>
    <w:basedOn w:val="DefaultParagraphFont"/>
    <w:link w:val="BodyText2"/>
    <w:qFormat/>
    <w:rsid w:val="00a6106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0" w:customStyle="1">
    <w:name w:val="Схема документа Знак"/>
    <w:basedOn w:val="DefaultParagraphFont"/>
    <w:link w:val="DocumentMap"/>
    <w:semiHidden/>
    <w:qFormat/>
    <w:rsid w:val="00a6106a"/>
    <w:rPr>
      <w:rFonts w:ascii="Tahoma" w:hAnsi="Tahoma" w:eastAsia="Times New Roman" w:cs="Tahoma"/>
      <w:sz w:val="24"/>
      <w:szCs w:val="24"/>
      <w:shd w:fill="000080" w:val="clear"/>
      <w:lang w:eastAsia="ru-RU"/>
    </w:rPr>
  </w:style>
  <w:style w:type="character" w:styleId="FollowedHyperlink">
    <w:name w:val="FollowedHyperlink"/>
    <w:rsid w:val="00a6106a"/>
    <w:rPr>
      <w:color w:val="800080"/>
      <w:u w:val="single"/>
    </w:rPr>
  </w:style>
  <w:style w:type="character" w:styleId="Annotationreference">
    <w:name w:val="annotation reference"/>
    <w:qFormat/>
    <w:rsid w:val="00a6106a"/>
    <w:rPr>
      <w:sz w:val="16"/>
      <w:szCs w:val="16"/>
    </w:rPr>
  </w:style>
  <w:style w:type="character" w:styleId="Style11" w:customStyle="1">
    <w:name w:val="Тема примечания Знак"/>
    <w:basedOn w:val="Style4"/>
    <w:link w:val="Annotationsubject"/>
    <w:qFormat/>
    <w:rsid w:val="00a6106a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5" w:customStyle="1">
    <w:name w:val="Заголовок 5 Знак"/>
    <w:basedOn w:val="DefaultParagraphFont"/>
    <w:uiPriority w:val="9"/>
    <w:qFormat/>
    <w:rsid w:val="00bb69cf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</w:rPr>
  </w:style>
  <w:style w:type="character" w:styleId="6" w:customStyle="1">
    <w:name w:val="Заголовок 6 Знак"/>
    <w:basedOn w:val="DefaultParagraphFont"/>
    <w:uiPriority w:val="9"/>
    <w:qFormat/>
    <w:rsid w:val="00bb69cf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</w:rPr>
  </w:style>
  <w:style w:type="character" w:styleId="Style12" w:customStyle="1">
    <w:name w:val="Подзаголовок Знак"/>
    <w:basedOn w:val="DefaultParagraphFont"/>
    <w:uiPriority w:val="11"/>
    <w:qFormat/>
    <w:rsid w:val="000e2ad4"/>
    <w:rPr>
      <w:rFonts w:eastAsia="" w:eastAsiaTheme="minorEastAsia"/>
      <w:color w:val="5A5A5A" w:themeColor="text1" w:themeTint="a5"/>
      <w:spacing w:val="15"/>
    </w:rPr>
  </w:style>
  <w:style w:type="character" w:styleId="Style13">
    <w:name w:val="Ссылка указателя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link w:val="Style6"/>
    <w:rsid w:val="00be2fea"/>
    <w:pPr>
      <w:widowControl w:val="false"/>
      <w:shd w:val="clear" w:color="auto" w:fill="FFFFFF"/>
      <w:tabs>
        <w:tab w:val="clear" w:pos="708"/>
        <w:tab w:val="left" w:pos="950" w:leader="none"/>
      </w:tabs>
      <w:spacing w:lineRule="auto" w:line="240" w:before="0" w:after="0"/>
    </w:pPr>
    <w:rPr>
      <w:rFonts w:ascii="Times New Roman" w:hAnsi="Times New Roman" w:eastAsia="Times New Roman" w:cs="Times New Roman"/>
      <w:color w:val="000000"/>
      <w:spacing w:val="5"/>
      <w:sz w:val="20"/>
      <w:szCs w:val="24"/>
      <w:lang w:eastAsia="ru-RU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Style16" w:customStyle="1">
    <w:name w:val="Знак Знак Знак Знак Знак Знак Знак Знак Знак Знак"/>
    <w:basedOn w:val="Normal"/>
    <w:qFormat/>
    <w:rsid w:val="00a6106a"/>
    <w:pPr>
      <w:tabs>
        <w:tab w:val="clear" w:pos="708"/>
        <w:tab w:val="left" w:pos="360" w:leader="none"/>
      </w:tabs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ListParagraph">
    <w:name w:val="List Paragraph"/>
    <w:basedOn w:val="Normal"/>
    <w:link w:val="Style5"/>
    <w:uiPriority w:val="34"/>
    <w:qFormat/>
    <w:rsid w:val="00d25bbe"/>
    <w:pPr>
      <w:spacing w:before="0" w:after="160"/>
      <w:ind w:left="720" w:hanging="0"/>
      <w:contextualSpacing/>
    </w:pPr>
    <w:rPr/>
  </w:style>
  <w:style w:type="paragraph" w:styleId="NoSpacing">
    <w:name w:val="No Spacing"/>
    <w:uiPriority w:val="1"/>
    <w:qFormat/>
    <w:rsid w:val="00d25bbe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7" w:customStyle="1">
    <w:name w:val="Заголовок для сожерж"/>
    <w:basedOn w:val="Heading1"/>
    <w:link w:val="Style3"/>
    <w:qFormat/>
    <w:rsid w:val="00d25bbe"/>
    <w:pPr>
      <w:keepLines w:val="false"/>
      <w:numPr>
        <w:ilvl w:val="0"/>
        <w:numId w:val="2"/>
      </w:numPr>
      <w:spacing w:lineRule="auto" w:line="240" w:before="0" w:after="0"/>
    </w:pPr>
    <w:rPr>
      <w:rFonts w:ascii="Times New Roman" w:hAnsi="Times New Roman" w:eastAsia="Times New Roman" w:cs="Times New Roman"/>
      <w:color w:val="auto"/>
      <w:sz w:val="24"/>
      <w:szCs w:val="24"/>
      <w:lang w:eastAsia="ru-RU"/>
    </w:rPr>
  </w:style>
  <w:style w:type="paragraph" w:styleId="Annotationtext">
    <w:name w:val="annotation text"/>
    <w:basedOn w:val="Normal"/>
    <w:link w:val="Style4"/>
    <w:unhideWhenUsed/>
    <w:qFormat/>
    <w:rsid w:val="00d25bbe"/>
    <w:pPr>
      <w:spacing w:lineRule="auto" w:line="240" w:before="0" w:after="200"/>
    </w:pPr>
    <w:rPr>
      <w:sz w:val="20"/>
      <w:szCs w:val="20"/>
    </w:rPr>
  </w:style>
  <w:style w:type="paragraph" w:styleId="Style18" w:customStyle="1">
    <w:name w:val="Подраздел раздела положения"/>
    <w:basedOn w:val="Normal"/>
    <w:autoRedefine/>
    <w:qFormat/>
    <w:rsid w:val="00be2fea"/>
    <w:pPr>
      <w:numPr>
        <w:ilvl w:val="1"/>
        <w:numId w:val="3"/>
      </w:numPr>
      <w:spacing w:lineRule="auto" w:line="240" w:before="80" w:after="80"/>
      <w:ind w:left="0" w:hanging="0"/>
      <w:jc w:val="both"/>
    </w:pPr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paragraph" w:styleId="Style19" w:customStyle="1">
    <w:name w:val="Таблица"/>
    <w:basedOn w:val="Normal"/>
    <w:qFormat/>
    <w:rsid w:val="008f480b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Style7"/>
    <w:semiHidden/>
    <w:unhideWhenUsed/>
    <w:qFormat/>
    <w:rsid w:val="00e334d7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0" w:customStyle="1">
    <w:name w:val="Таблица шапка"/>
    <w:basedOn w:val="Normal"/>
    <w:qFormat/>
    <w:rsid w:val="00817149"/>
    <w:pPr>
      <w:keepNext w:val="true"/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Cs w:val="26"/>
      <w:lang w:eastAsia="ru-RU"/>
    </w:rPr>
  </w:style>
  <w:style w:type="paragraph" w:styleId="IndexHeading">
    <w:name w:val="Index Heading"/>
    <w:basedOn w:val="Style14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d67d63"/>
    <w:pPr>
      <w:outlineLvl w:val="9"/>
    </w:pPr>
    <w:rPr>
      <w:lang w:eastAsia="ru-RU"/>
    </w:rPr>
  </w:style>
  <w:style w:type="paragraph" w:styleId="TOC2">
    <w:name w:val="TOC 2"/>
    <w:basedOn w:val="Normal"/>
    <w:next w:val="Normal"/>
    <w:autoRedefine/>
    <w:uiPriority w:val="39"/>
    <w:unhideWhenUsed/>
    <w:rsid w:val="00d67d63"/>
    <w:pPr>
      <w:spacing w:before="0" w:after="100"/>
      <w:ind w:left="220" w:hanging="0"/>
    </w:pPr>
    <w:rPr/>
  </w:style>
  <w:style w:type="paragraph" w:styleId="Style21">
    <w:name w:val="Колонтитул"/>
    <w:basedOn w:val="Normal"/>
    <w:qFormat/>
    <w:pPr/>
    <w:rPr/>
  </w:style>
  <w:style w:type="paragraph" w:styleId="Header">
    <w:name w:val="Header"/>
    <w:basedOn w:val="Normal"/>
    <w:link w:val="Style8"/>
    <w:uiPriority w:val="99"/>
    <w:unhideWhenUsed/>
    <w:rsid w:val="00d67d6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9"/>
    <w:uiPriority w:val="99"/>
    <w:unhideWhenUsed/>
    <w:rsid w:val="00d67d6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ConsPlusNormal" w:customStyle="1">
    <w:name w:val="ConsPlusNormal"/>
    <w:qFormat/>
    <w:rsid w:val="00860a85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Nonformat" w:customStyle="1">
    <w:name w:val="ConsPlusNonformat"/>
    <w:qFormat/>
    <w:rsid w:val="00860a85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BodyText2">
    <w:name w:val="Body Text 2"/>
    <w:basedOn w:val="Normal"/>
    <w:link w:val="21"/>
    <w:qFormat/>
    <w:rsid w:val="00a6106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DocumentMap">
    <w:name w:val="Document Map"/>
    <w:basedOn w:val="Normal"/>
    <w:link w:val="Style10"/>
    <w:semiHidden/>
    <w:qFormat/>
    <w:rsid w:val="00a6106a"/>
    <w:pPr>
      <w:shd w:val="clear" w:color="auto" w:fill="000080"/>
      <w:spacing w:lineRule="auto" w:line="240" w:before="0" w:after="0"/>
    </w:pPr>
    <w:rPr>
      <w:rFonts w:ascii="Tahoma" w:hAnsi="Tahoma" w:eastAsia="Times New Roman" w:cs="Tahoma"/>
      <w:sz w:val="24"/>
      <w:szCs w:val="24"/>
      <w:lang w:eastAsia="ru-RU"/>
    </w:rPr>
  </w:style>
  <w:style w:type="paragraph" w:styleId="Annotationsubject">
    <w:name w:val="annotation subject"/>
    <w:basedOn w:val="Annotationtext"/>
    <w:next w:val="Annotationtext"/>
    <w:link w:val="Style11"/>
    <w:qFormat/>
    <w:rsid w:val="00a6106a"/>
    <w:pPr>
      <w:spacing w:before="0" w:after="0"/>
    </w:pPr>
    <w:rPr>
      <w:rFonts w:ascii="Times New Roman" w:hAnsi="Times New Roman" w:eastAsia="Times New Roman" w:cs="Times New Roman"/>
      <w:b/>
      <w:bCs/>
      <w:lang w:eastAsia="ru-RU"/>
    </w:rPr>
  </w:style>
  <w:style w:type="paragraph" w:styleId="TOC1">
    <w:name w:val="TOC 1"/>
    <w:basedOn w:val="Normal"/>
    <w:next w:val="Normal"/>
    <w:autoRedefine/>
    <w:uiPriority w:val="39"/>
    <w:unhideWhenUsed/>
    <w:rsid w:val="00bb69cf"/>
    <w:pPr>
      <w:spacing w:before="0" w:after="100"/>
    </w:pPr>
    <w:rPr/>
  </w:style>
  <w:style w:type="paragraph" w:styleId="TOC3">
    <w:name w:val="TOC 3"/>
    <w:basedOn w:val="Normal"/>
    <w:next w:val="Normal"/>
    <w:autoRedefine/>
    <w:uiPriority w:val="39"/>
    <w:unhideWhenUsed/>
    <w:rsid w:val="00bb69cf"/>
    <w:pPr>
      <w:spacing w:before="0" w:after="100"/>
      <w:ind w:left="440" w:hanging="0"/>
    </w:pPr>
    <w:rPr/>
  </w:style>
  <w:style w:type="paragraph" w:styleId="Subtitle">
    <w:name w:val="Subtitle"/>
    <w:basedOn w:val="Normal"/>
    <w:next w:val="Normal"/>
    <w:link w:val="Style12"/>
    <w:uiPriority w:val="11"/>
    <w:qFormat/>
    <w:rsid w:val="000e2ad4"/>
    <w:pPr/>
    <w:rPr>
      <w:rFonts w:eastAsia="" w:eastAsiaTheme="minorEastAsia"/>
      <w:color w:val="5A5A5A" w:themeColor="text1" w:themeTint="a5"/>
      <w:spacing w:val="15"/>
    </w:rPr>
  </w:style>
  <w:style w:type="paragraph" w:styleId="Style22">
    <w:name w:val="Содержимое таблицы"/>
    <w:basedOn w:val="Normal"/>
    <w:qFormat/>
    <w:pPr>
      <w:widowControl w:val="false"/>
      <w:suppressLineNumbers/>
    </w:pPr>
    <w:rPr/>
  </w:style>
  <w:style w:type="paragraph" w:styleId="Style23">
    <w:name w:val="Заголовок таблицы"/>
    <w:basedOn w:val="Style22"/>
    <w:qFormat/>
    <w:pPr>
      <w:suppressLineNumbers/>
      <w:jc w:val="center"/>
    </w:pPr>
    <w:rPr>
      <w:b/>
      <w:bCs/>
    </w:rPr>
  </w:style>
  <w:style w:type="paragraph" w:styleId="TOC4">
    <w:name w:val="TOC 4"/>
    <w:basedOn w:val="Style15"/>
    <w:pPr>
      <w:tabs>
        <w:tab w:val="clear" w:pos="708"/>
        <w:tab w:val="right" w:pos="8788" w:leader="dot"/>
      </w:tabs>
      <w:ind w:left="850" w:hanging="0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11" w:customStyle="1">
    <w:name w:val="Нет списка1"/>
    <w:semiHidden/>
    <w:qFormat/>
    <w:rsid w:val="00a6106a"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3"/>
    <w:uiPriority w:val="39"/>
    <w:rsid w:val="00860a85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syst-el.ru/static/images/fck/file/stoyki_ty%255B1%255D%5B1%5D.pdf" TargetMode="Externa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8AA5A-F62D-414A-8918-B71383C10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2140</TotalTime>
  <Application>AlterOffice/3.3.0.4$Linux_X86_64 LibreOffice_project/fa736b558560ebea8f92088bfd7720f4b3918f3f</Application>
  <AppVersion>15.0000</AppVersion>
  <Pages>9</Pages>
  <Words>1744</Words>
  <Characters>11649</Characters>
  <CharactersWithSpaces>13153</CharactersWithSpaces>
  <Paragraphs>239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2023-01-23T07:05:00Z</dcterms:created>
  <dc:creator>Кирильцов Алексей Викторович</dc:creator>
  <dc:description/>
  <dc:language>ru-RU</dc:language>
  <cp:lastModifiedBy>kiriltsov_av</cp:lastModifiedBy>
  <cp:lastPrinted>2024-12-12T09:27:16Z</cp:lastPrinted>
  <dcterms:modified xsi:type="dcterms:W3CDTF">2025-11-28T15:33:39Z</dcterms:modified>
  <cp:revision>76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